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EEB66F">
      <w:pPr>
        <w:spacing w:before="0" w:beforeLines="0" w:after="0" w:afterLines="0" w:line="240" w:lineRule="auto"/>
        <w:ind w:left="0" w:leftChars="0" w:right="0" w:rightChars="0" w:firstLine="0" w:firstLineChars="0"/>
        <w:jc w:val="both"/>
        <w:outlineLvl w:val="0"/>
        <w:rPr>
          <w:rFonts w:hint="eastAsia" w:asciiTheme="minorHAnsi" w:hAnsiTheme="minorHAnsi" w:eastAsiaTheme="minorEastAsia" w:cstheme="minorBidi"/>
          <w:kern w:val="2"/>
          <w:sz w:val="44"/>
          <w:szCs w:val="44"/>
          <w:lang w:val="en-US" w:eastAsia="zh-CN" w:bidi="ar-SA"/>
        </w:rPr>
      </w:pPr>
    </w:p>
    <w:p w14:paraId="57A335CD">
      <w:pPr>
        <w:pStyle w:val="2"/>
        <w:bidi w:val="0"/>
        <w:jc w:val="center"/>
        <w:rPr>
          <w:rFonts w:hint="eastAsia"/>
          <w:lang w:val="en-US" w:eastAsia="zh-CN"/>
        </w:rPr>
      </w:pPr>
      <w:bookmarkStart w:id="0" w:name="_Toc24438"/>
      <w:r>
        <w:rPr>
          <w:rFonts w:hint="eastAsia"/>
          <w:lang w:val="en-US" w:eastAsia="zh-CN"/>
        </w:rPr>
        <w:t>新疆职业大学资产入固流程</w:t>
      </w:r>
      <w:bookmarkEnd w:id="0"/>
    </w:p>
    <w:p w14:paraId="2850F9B4">
      <w:pPr>
        <w:rPr>
          <w:rFonts w:hint="eastAsia"/>
          <w:lang w:val="en-US" w:eastAsia="zh-CN"/>
        </w:rPr>
      </w:pPr>
    </w:p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65082"/>
        <w15:color w:val="DBDBDB"/>
        <w:docPartObj>
          <w:docPartGallery w:val="Table of Contents"/>
          <w:docPartUnique/>
        </w:docPartObj>
      </w:sdtPr>
      <w:sdtEnd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sdtEndPr>
      <w:sdtContent>
        <w:p w14:paraId="720722AE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0D97657F">
          <w:pPr>
            <w:pStyle w:val="6"/>
            <w:tabs>
              <w:tab w:val="right" w:pos="830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TOC \o "1-3" \h \u </w:instrText>
          </w:r>
          <w:r>
            <w:rPr>
              <w:rFonts w:hint="eastAsia"/>
              <w:lang w:val="en-US" w:eastAsia="zh-CN"/>
            </w:rPr>
            <w:fldChar w:fldCharType="separate"/>
          </w:r>
        </w:p>
        <w:p w14:paraId="56D076F7">
          <w:pPr>
            <w:pStyle w:val="7"/>
            <w:tabs>
              <w:tab w:val="right" w:pos="830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_Toc5807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（一）资产入固</w:t>
          </w:r>
          <w:r>
            <w:tab/>
          </w:r>
          <w:r>
            <w:fldChar w:fldCharType="begin"/>
          </w:r>
          <w:r>
            <w:instrText xml:space="preserve"> PAGEREF _Toc5807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188558B6">
          <w:pPr>
            <w:pStyle w:val="5"/>
            <w:tabs>
              <w:tab w:val="right" w:pos="830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_Toc2829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1.1查看单据审核进度</w:t>
          </w:r>
          <w:r>
            <w:tab/>
          </w:r>
          <w:r>
            <w:fldChar w:fldCharType="begin"/>
          </w:r>
          <w:r>
            <w:instrText xml:space="preserve"> PAGEREF _Toc2829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6C1D0BE4">
          <w:pPr>
            <w:pStyle w:val="5"/>
            <w:tabs>
              <w:tab w:val="right" w:pos="830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_Toc3333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1.2单据打印（资产处审核通过后可以打印）</w:t>
          </w:r>
          <w:r>
            <w:tab/>
          </w:r>
          <w:r>
            <w:fldChar w:fldCharType="begin"/>
          </w:r>
          <w:r>
            <w:instrText xml:space="preserve"> PAGEREF _Toc3333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44843CD5">
          <w:pPr>
            <w:pStyle w:val="7"/>
            <w:tabs>
              <w:tab w:val="right" w:pos="830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_Toc8788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（二）资产调拨</w:t>
          </w:r>
          <w:r>
            <w:tab/>
          </w:r>
          <w:r>
            <w:fldChar w:fldCharType="begin"/>
          </w:r>
          <w:r>
            <w:instrText xml:space="preserve"> PAGEREF _Toc8788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1257B1A1">
          <w:pPr>
            <w:pStyle w:val="5"/>
            <w:tabs>
              <w:tab w:val="right" w:pos="830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_Toc10101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2.1单位内调拨</w:t>
          </w:r>
          <w:r>
            <w:tab/>
          </w:r>
          <w:r>
            <w:fldChar w:fldCharType="begin"/>
          </w:r>
          <w:r>
            <w:instrText xml:space="preserve"> PAGEREF _Toc10101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0F97788E">
          <w:pPr>
            <w:pStyle w:val="5"/>
            <w:tabs>
              <w:tab w:val="right" w:pos="830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_Toc17623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2.1.1审核流程</w:t>
          </w:r>
          <w:r>
            <w:tab/>
          </w:r>
          <w:r>
            <w:fldChar w:fldCharType="begin"/>
          </w:r>
          <w:r>
            <w:instrText xml:space="preserve"> PAGEREF _Toc17623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4E8270E1">
          <w:pPr>
            <w:pStyle w:val="5"/>
            <w:tabs>
              <w:tab w:val="right" w:pos="830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_Toc12944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2.2单位间调拨</w:t>
          </w:r>
          <w:r>
            <w:tab/>
          </w:r>
          <w:r>
            <w:fldChar w:fldCharType="begin"/>
          </w:r>
          <w:r>
            <w:instrText xml:space="preserve"> PAGEREF _Toc12944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15EFAD91">
          <w:pPr>
            <w:pStyle w:val="5"/>
            <w:tabs>
              <w:tab w:val="right" w:pos="830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_Toc29493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2.2.1审核流程</w:t>
          </w:r>
          <w:r>
            <w:tab/>
          </w:r>
          <w:r>
            <w:fldChar w:fldCharType="begin"/>
          </w:r>
          <w:r>
            <w:instrText xml:space="preserve"> PAGEREF _Toc29493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23CEE609">
          <w:pPr>
            <w:pStyle w:val="7"/>
            <w:tabs>
              <w:tab w:val="right" w:pos="830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_Toc16776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（三）查询</w:t>
          </w:r>
          <w:r>
            <w:tab/>
          </w:r>
          <w:r>
            <w:fldChar w:fldCharType="begin"/>
          </w:r>
          <w:r>
            <w:instrText xml:space="preserve"> PAGEREF _Toc16776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  <w:bookmarkStart w:id="15" w:name="_GoBack"/>
          <w:bookmarkEnd w:id="15"/>
        </w:p>
        <w:p w14:paraId="6351699A">
          <w:pPr>
            <w:pStyle w:val="5"/>
            <w:tabs>
              <w:tab w:val="right" w:pos="830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_Toc23741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3.1公开查询</w:t>
          </w:r>
          <w:r>
            <w:tab/>
          </w:r>
          <w:r>
            <w:fldChar w:fldCharType="begin"/>
          </w:r>
          <w:r>
            <w:instrText xml:space="preserve"> PAGEREF _Toc23741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4ED50850">
          <w:pPr>
            <w:pStyle w:val="5"/>
            <w:tabs>
              <w:tab w:val="right" w:pos="830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_Toc5063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3.2建账单查询（入固单）：</w:t>
          </w:r>
          <w:r>
            <w:tab/>
          </w:r>
          <w:r>
            <w:fldChar w:fldCharType="begin"/>
          </w:r>
          <w:r>
            <w:instrText xml:space="preserve"> PAGEREF _Toc5063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38FD50D9">
          <w:pPr>
            <w:pStyle w:val="5"/>
            <w:tabs>
              <w:tab w:val="right" w:pos="830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_Toc17182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3.3资产信息查询（建账单里面的卡片信息）：</w:t>
          </w:r>
          <w:r>
            <w:tab/>
          </w:r>
          <w:r>
            <w:fldChar w:fldCharType="begin"/>
          </w:r>
          <w:r>
            <w:instrText xml:space="preserve"> PAGEREF _Toc17182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719763C4">
          <w:pPr>
            <w:pStyle w:val="5"/>
            <w:tabs>
              <w:tab w:val="right" w:pos="830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_Toc11367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3.4资产变动信息查询：</w:t>
          </w:r>
          <w:r>
            <w:tab/>
          </w:r>
          <w:r>
            <w:fldChar w:fldCharType="begin"/>
          </w:r>
          <w:r>
            <w:instrText xml:space="preserve"> PAGEREF _Toc11367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7F785DEC">
          <w:pPr>
            <w:pStyle w:val="5"/>
            <w:tabs>
              <w:tab w:val="right" w:pos="830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_Toc27790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3.5资产分类查询：</w:t>
          </w:r>
          <w:r>
            <w:tab/>
          </w:r>
          <w:r>
            <w:fldChar w:fldCharType="begin"/>
          </w:r>
          <w:r>
            <w:instrText xml:space="preserve"> PAGEREF _Toc27790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44F2C545">
          <w:pPr>
            <w:rPr>
              <w:rFonts w:hint="eastAsia" w:asciiTheme="minorHAnsi" w:hAnsiTheme="minorHAnsi" w:eastAsiaTheme="minorEastAsia" w:cstheme="minorBidi"/>
              <w:kern w:val="2"/>
              <w:sz w:val="21"/>
              <w:szCs w:val="24"/>
              <w:lang w:val="en-US" w:eastAsia="zh-CN" w:bidi="ar-SA"/>
            </w:rPr>
          </w:pPr>
          <w:r>
            <w:rPr>
              <w:rFonts w:hint="eastAsia"/>
              <w:lang w:val="en-US" w:eastAsia="zh-CN"/>
            </w:rPr>
            <w:fldChar w:fldCharType="end"/>
          </w:r>
        </w:p>
      </w:sdtContent>
    </w:sdt>
    <w:p w14:paraId="2571B3DC"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入固流程分为领用人建账（普通老师）和管理员建账（单位资产管理员入固流程如下：</w:t>
      </w:r>
    </w:p>
    <w:p w14:paraId="2C2AAC05">
      <w:pPr>
        <w:jc w:val="both"/>
        <w:rPr>
          <w:rFonts w:hint="eastAsia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65420" cy="7131050"/>
            <wp:effectExtent l="0" t="0" r="1905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713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2A21A">
      <w:pPr>
        <w:pStyle w:val="3"/>
        <w:bidi w:val="0"/>
        <w:rPr>
          <w:rFonts w:hint="default"/>
          <w:lang w:val="en-US" w:eastAsia="zh-CN"/>
        </w:rPr>
      </w:pPr>
      <w:bookmarkStart w:id="1" w:name="_Toc5807"/>
      <w:r>
        <w:rPr>
          <w:rFonts w:hint="eastAsia"/>
          <w:lang w:val="en-US" w:eastAsia="zh-CN"/>
        </w:rPr>
        <w:t>（一）资产入固</w:t>
      </w:r>
      <w:bookmarkEnd w:id="1"/>
    </w:p>
    <w:p w14:paraId="354F0AFD"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进入系统之后点击资产管理（这里以领用人建账为例）</w:t>
      </w:r>
    </w:p>
    <w:p w14:paraId="1341F956"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点击领用人建账-申请建账</w:t>
      </w:r>
    </w:p>
    <w:p w14:paraId="145E77A4">
      <w:pPr>
        <w:jc w:val="both"/>
      </w:pPr>
      <w:r>
        <w:drawing>
          <wp:inline distT="0" distB="0" distL="114300" distR="114300">
            <wp:extent cx="5263515" cy="2443480"/>
            <wp:effectExtent l="0" t="0" r="381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44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0172A"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第一步分类选择-选择需要入固相近的分类-选择完成之后点击下一步（分类的选择要选择末级分类）</w:t>
      </w:r>
    </w:p>
    <w:p w14:paraId="7E0AFB5F"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drawing>
          <wp:inline distT="0" distB="0" distL="114300" distR="114300">
            <wp:extent cx="5268595" cy="2915285"/>
            <wp:effectExtent l="0" t="0" r="8255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91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16C9D"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进入到入固单信息填写页面</w:t>
      </w:r>
    </w:p>
    <w:p w14:paraId="35FDECF7"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红色带</w:t>
      </w:r>
      <w:r>
        <w:rPr>
          <w:rFonts w:hint="eastAsia"/>
          <w:color w:val="FF0000"/>
          <w:sz w:val="28"/>
          <w:szCs w:val="28"/>
          <w:lang w:val="en-US" w:eastAsia="zh-CN"/>
        </w:rPr>
        <w:t>*</w:t>
      </w:r>
      <w:r>
        <w:rPr>
          <w:rFonts w:hint="eastAsia"/>
          <w:sz w:val="28"/>
          <w:szCs w:val="28"/>
          <w:lang w:val="en-US" w:eastAsia="zh-CN"/>
        </w:rPr>
        <w:t>的为必填项</w:t>
      </w:r>
    </w:p>
    <w:p w14:paraId="41FAA482">
      <w:pPr>
        <w:jc w:val="both"/>
      </w:pPr>
      <w:r>
        <w:drawing>
          <wp:inline distT="0" distB="0" distL="114300" distR="114300">
            <wp:extent cx="5251450" cy="2672080"/>
            <wp:effectExtent l="0" t="0" r="635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1450" cy="267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32FE9"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填写完成之后点击保存下面会生成资产卡片信息</w:t>
      </w:r>
    </w:p>
    <w:p w14:paraId="5DAD69C2"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然后选择使用人-使用部门-使用方向-存放地点（新校区地点）-存放房间号</w:t>
      </w:r>
    </w:p>
    <w:p w14:paraId="5CC05A44">
      <w:pPr>
        <w:jc w:val="both"/>
      </w:pPr>
      <w:r>
        <w:drawing>
          <wp:inline distT="0" distB="0" distL="114300" distR="114300">
            <wp:extent cx="5263515" cy="3079750"/>
            <wp:effectExtent l="0" t="0" r="381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07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A151A">
      <w:pPr>
        <w:jc w:val="both"/>
      </w:pPr>
      <w:r>
        <w:drawing>
          <wp:inline distT="0" distB="0" distL="114300" distR="114300">
            <wp:extent cx="5264785" cy="701040"/>
            <wp:effectExtent l="0" t="0" r="2540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51566"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选择完成还需要上传文档信息</w:t>
      </w:r>
    </w:p>
    <w:p w14:paraId="2F685ED9"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扫码上传---可以调用手机相册的图片和文档进行上传</w:t>
      </w:r>
    </w:p>
    <w:p w14:paraId="38B39CA3"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上传--是把图片或文档上传到电脑上面进行上传</w:t>
      </w:r>
    </w:p>
    <w:p w14:paraId="3D296BC2"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上传完成之后点击保存进行提交 </w:t>
      </w:r>
    </w:p>
    <w:p w14:paraId="4D86BA52">
      <w:pPr>
        <w:jc w:val="both"/>
        <w:rPr>
          <w:rFonts w:hint="eastAsia"/>
          <w:sz w:val="32"/>
          <w:szCs w:val="32"/>
          <w:lang w:val="en-US" w:eastAsia="zh-CN"/>
        </w:rPr>
      </w:pPr>
    </w:p>
    <w:p w14:paraId="75F17455">
      <w:pPr>
        <w:pStyle w:val="4"/>
        <w:bidi w:val="0"/>
        <w:rPr>
          <w:rFonts w:hint="eastAsia"/>
          <w:lang w:val="en-US" w:eastAsia="zh-CN"/>
        </w:rPr>
      </w:pPr>
      <w:bookmarkStart w:id="2" w:name="_Toc2829"/>
      <w:r>
        <w:rPr>
          <w:rFonts w:hint="eastAsia"/>
          <w:lang w:val="en-US" w:eastAsia="zh-CN"/>
        </w:rPr>
        <w:t>1.1查看单据审核进度</w:t>
      </w:r>
      <w:bookmarkEnd w:id="2"/>
    </w:p>
    <w:p w14:paraId="0B1A54FF"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可以从批量操作-审批进度进行查看</w:t>
      </w:r>
    </w:p>
    <w:p w14:paraId="0FE4F494">
      <w:pPr>
        <w:jc w:val="both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选中需要查看进度的单据点击批量操作-审核进度</w:t>
      </w:r>
    </w:p>
    <w:p w14:paraId="160C5446">
      <w:pPr>
        <w:jc w:val="both"/>
      </w:pPr>
      <w:r>
        <w:drawing>
          <wp:inline distT="0" distB="0" distL="114300" distR="114300">
            <wp:extent cx="5257800" cy="2155825"/>
            <wp:effectExtent l="0" t="0" r="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15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BEF41">
      <w:pPr>
        <w:pStyle w:val="4"/>
        <w:bidi w:val="0"/>
        <w:rPr>
          <w:rFonts w:hint="eastAsia"/>
          <w:lang w:val="en-US" w:eastAsia="zh-CN"/>
        </w:rPr>
      </w:pPr>
      <w:bookmarkStart w:id="3" w:name="_Toc3333"/>
      <w:r>
        <w:rPr>
          <w:rFonts w:hint="eastAsia"/>
          <w:lang w:val="en-US" w:eastAsia="zh-CN"/>
        </w:rPr>
        <w:t>1.2单据打印（资产处审核通过后可以打印）</w:t>
      </w:r>
      <w:bookmarkEnd w:id="3"/>
    </w:p>
    <w:p w14:paraId="23912E52">
      <w:pPr>
        <w:jc w:val="both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选中需要打印的入固单据（可以多选）点击打印-打印列表</w:t>
      </w:r>
    </w:p>
    <w:p w14:paraId="3B5A37F0">
      <w:pPr>
        <w:jc w:val="both"/>
      </w:pPr>
      <w:r>
        <w:drawing>
          <wp:inline distT="0" distB="0" distL="114300" distR="114300">
            <wp:extent cx="5259705" cy="3024505"/>
            <wp:effectExtent l="0" t="0" r="7620" b="444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302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C788D">
      <w:pPr>
        <w:jc w:val="both"/>
      </w:pPr>
      <w:r>
        <w:drawing>
          <wp:inline distT="0" distB="0" distL="114300" distR="114300">
            <wp:extent cx="5260975" cy="1701800"/>
            <wp:effectExtent l="0" t="0" r="6350" b="317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2FA5D"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入固单据中需要签字和盖章</w:t>
      </w:r>
    </w:p>
    <w:p w14:paraId="05BB36C7"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打印完成之后携带打印列表去财务处报销</w:t>
      </w:r>
    </w:p>
    <w:p w14:paraId="0ACBE9C9">
      <w:pPr>
        <w:jc w:val="both"/>
        <w:rPr>
          <w:rFonts w:hint="eastAsia"/>
          <w:sz w:val="32"/>
          <w:szCs w:val="32"/>
          <w:lang w:val="en-US" w:eastAsia="zh-CN"/>
        </w:rPr>
      </w:pPr>
    </w:p>
    <w:p w14:paraId="75CFEC0F">
      <w:pPr>
        <w:jc w:val="both"/>
        <w:rPr>
          <w:rFonts w:hint="eastAsia"/>
          <w:sz w:val="32"/>
          <w:szCs w:val="32"/>
          <w:lang w:val="en-US" w:eastAsia="zh-CN"/>
        </w:rPr>
      </w:pPr>
    </w:p>
    <w:p w14:paraId="5BD46387">
      <w:pPr>
        <w:pStyle w:val="3"/>
        <w:bidi w:val="0"/>
        <w:rPr>
          <w:rFonts w:hint="default"/>
          <w:lang w:val="en-US" w:eastAsia="zh-CN"/>
        </w:rPr>
      </w:pPr>
      <w:bookmarkStart w:id="4" w:name="_Toc8788"/>
      <w:r>
        <w:rPr>
          <w:rFonts w:hint="eastAsia"/>
          <w:lang w:val="en-US" w:eastAsia="zh-CN"/>
        </w:rPr>
        <w:t>（二）资产调拨</w:t>
      </w:r>
      <w:bookmarkEnd w:id="4"/>
    </w:p>
    <w:p w14:paraId="6E8CCAEE"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资产调拨分为单位内调拨和单位间调拨</w:t>
      </w:r>
    </w:p>
    <w:p w14:paraId="444650E2">
      <w:pPr>
        <w:pStyle w:val="4"/>
        <w:bidi w:val="0"/>
        <w:rPr>
          <w:rFonts w:hint="eastAsia"/>
          <w:lang w:val="en-US" w:eastAsia="zh-CN"/>
        </w:rPr>
      </w:pPr>
      <w:bookmarkStart w:id="5" w:name="_Toc10101"/>
      <w:r>
        <w:rPr>
          <w:rFonts w:hint="eastAsia"/>
          <w:lang w:val="en-US" w:eastAsia="zh-CN"/>
        </w:rPr>
        <w:t>2.1单位内调拨</w:t>
      </w:r>
      <w:bookmarkEnd w:id="5"/>
    </w:p>
    <w:p w14:paraId="53638CE2">
      <w:pPr>
        <w:jc w:val="both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点击资产管理-资产调拨-在单位信息树中选择所在的单位-点击单位内调拨申请</w:t>
      </w:r>
    </w:p>
    <w:p w14:paraId="28706E61">
      <w:pPr>
        <w:jc w:val="both"/>
      </w:pPr>
      <w:r>
        <w:drawing>
          <wp:inline distT="0" distB="0" distL="114300" distR="114300">
            <wp:extent cx="5263515" cy="1678940"/>
            <wp:effectExtent l="0" t="0" r="3810" b="698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67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3252A">
      <w:pPr>
        <w:jc w:val="both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进入资产选择页面</w:t>
      </w:r>
    </w:p>
    <w:p w14:paraId="07E233B9">
      <w:pPr>
        <w:jc w:val="both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普通老师只能看到自己名下的</w:t>
      </w:r>
    </w:p>
    <w:p w14:paraId="22E50F91">
      <w:pPr>
        <w:jc w:val="both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管理员老师可以选择管理单位下的或个人名下的可以切换</w:t>
      </w:r>
    </w:p>
    <w:p w14:paraId="5C501ACD">
      <w:pPr>
        <w:jc w:val="both"/>
      </w:pPr>
      <w:r>
        <w:drawing>
          <wp:inline distT="0" distB="0" distL="114300" distR="114300">
            <wp:extent cx="5263515" cy="2410460"/>
            <wp:effectExtent l="0" t="0" r="3810" b="889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41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D8A44">
      <w:pPr>
        <w:jc w:val="both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从这个页面选择需要单位内调拨的资产点击生成变动单</w:t>
      </w:r>
    </w:p>
    <w:p w14:paraId="517B9E9E">
      <w:pPr>
        <w:jc w:val="both"/>
      </w:pPr>
      <w:r>
        <w:drawing>
          <wp:inline distT="0" distB="0" distL="114300" distR="114300">
            <wp:extent cx="5263515" cy="2063115"/>
            <wp:effectExtent l="0" t="0" r="3810" b="381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06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47B0F"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变动后使用情况是变动哪一个填写哪一个，</w:t>
      </w:r>
      <w:r>
        <w:rPr>
          <w:rFonts w:hint="eastAsia"/>
          <w:color w:val="FF0000"/>
          <w:sz w:val="32"/>
          <w:szCs w:val="32"/>
          <w:lang w:val="en-US" w:eastAsia="zh-CN"/>
        </w:rPr>
        <w:t>没有变的内容不用填写</w:t>
      </w:r>
      <w:r>
        <w:rPr>
          <w:rFonts w:hint="eastAsia"/>
          <w:sz w:val="32"/>
          <w:szCs w:val="32"/>
          <w:lang w:val="en-US" w:eastAsia="zh-CN"/>
        </w:rPr>
        <w:t>要是只变动使用人就只选择变动后的使用人</w:t>
      </w:r>
    </w:p>
    <w:p w14:paraId="4CE0E37E">
      <w:pPr>
        <w:jc w:val="both"/>
        <w:rPr>
          <w:rFonts w:hint="eastAsia"/>
          <w:color w:val="FF0000"/>
          <w:sz w:val="32"/>
          <w:szCs w:val="32"/>
          <w:lang w:val="en-US" w:eastAsia="zh-CN"/>
        </w:rPr>
      </w:pPr>
      <w:r>
        <w:rPr>
          <w:rFonts w:hint="eastAsia"/>
          <w:color w:val="FF0000"/>
          <w:sz w:val="32"/>
          <w:szCs w:val="32"/>
          <w:lang w:val="en-US" w:eastAsia="zh-CN"/>
        </w:rPr>
        <w:t>填写变动原因</w:t>
      </w:r>
    </w:p>
    <w:p w14:paraId="09057D8F">
      <w:pPr>
        <w:jc w:val="both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填写完成之后点击保存提交审核</w:t>
      </w:r>
    </w:p>
    <w:p w14:paraId="27024C26">
      <w:p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63515" cy="2136140"/>
            <wp:effectExtent l="0" t="0" r="3810" b="698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13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B7678">
      <w:pPr>
        <w:pStyle w:val="4"/>
        <w:bidi w:val="0"/>
        <w:rPr>
          <w:rFonts w:hint="eastAsia"/>
          <w:lang w:val="en-US" w:eastAsia="zh-CN"/>
        </w:rPr>
      </w:pPr>
      <w:bookmarkStart w:id="6" w:name="_Toc17623"/>
      <w:r>
        <w:rPr>
          <w:rFonts w:hint="eastAsia"/>
          <w:lang w:val="en-US" w:eastAsia="zh-CN"/>
        </w:rPr>
        <w:t>2.1.1审核流程</w:t>
      </w:r>
      <w:bookmarkEnd w:id="6"/>
    </w:p>
    <w:p w14:paraId="43804E9D"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提交完成之后--部门内管理员审核--领用人审核（变动后使用人）</w:t>
      </w:r>
    </w:p>
    <w:p w14:paraId="3AE2F8B1"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可以点击查看进度看到流程中该哪位老师审核</w:t>
      </w:r>
    </w:p>
    <w:p w14:paraId="0F4537FC">
      <w:pPr>
        <w:jc w:val="both"/>
      </w:pPr>
      <w:r>
        <w:drawing>
          <wp:inline distT="0" distB="0" distL="114300" distR="114300">
            <wp:extent cx="5273040" cy="1884045"/>
            <wp:effectExtent l="0" t="0" r="3810" b="190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88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3AEA6">
      <w:pPr>
        <w:pStyle w:val="4"/>
        <w:bidi w:val="0"/>
        <w:rPr>
          <w:rFonts w:hint="eastAsia"/>
          <w:lang w:val="en-US" w:eastAsia="zh-CN"/>
        </w:rPr>
      </w:pPr>
      <w:bookmarkStart w:id="7" w:name="_Toc12944"/>
      <w:r>
        <w:rPr>
          <w:rFonts w:hint="eastAsia"/>
          <w:lang w:val="en-US" w:eastAsia="zh-CN"/>
        </w:rPr>
        <w:t>2.2单位间调拨</w:t>
      </w:r>
      <w:bookmarkEnd w:id="7"/>
    </w:p>
    <w:p w14:paraId="7C473767"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单位间调拨和单位内调拨区别在于</w:t>
      </w:r>
      <w:r>
        <w:rPr>
          <w:rFonts w:hint="eastAsia"/>
          <w:color w:val="FF0000"/>
          <w:sz w:val="32"/>
          <w:szCs w:val="32"/>
          <w:lang w:val="en-US" w:eastAsia="zh-CN"/>
        </w:rPr>
        <w:t>审核步骤</w:t>
      </w:r>
      <w:r>
        <w:rPr>
          <w:rFonts w:hint="eastAsia"/>
          <w:sz w:val="32"/>
          <w:szCs w:val="32"/>
          <w:lang w:val="en-US" w:eastAsia="zh-CN"/>
        </w:rPr>
        <w:t>不同</w:t>
      </w:r>
    </w:p>
    <w:p w14:paraId="56A793BA"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操作方法如单位内调拨</w:t>
      </w:r>
    </w:p>
    <w:p w14:paraId="42E3A237">
      <w:pPr>
        <w:jc w:val="both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资产管理-资产调拨-二级单位间调拨-在单位信息树选择单位-点击单位间调拨申请</w:t>
      </w:r>
    </w:p>
    <w:p w14:paraId="58636F4B">
      <w:pPr>
        <w:jc w:val="both"/>
      </w:pPr>
      <w:r>
        <w:drawing>
          <wp:inline distT="0" distB="0" distL="114300" distR="114300">
            <wp:extent cx="5263515" cy="2340610"/>
            <wp:effectExtent l="0" t="0" r="3810" b="254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34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5B62F">
      <w:pPr>
        <w:jc w:val="both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进入资产选择页面</w:t>
      </w:r>
    </w:p>
    <w:p w14:paraId="03D93E8B">
      <w:pPr>
        <w:jc w:val="both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普通老师只能看到自己名下的</w:t>
      </w:r>
    </w:p>
    <w:p w14:paraId="0332ABDA">
      <w:pPr>
        <w:jc w:val="both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管理员老师可以选择管理单位下的或个人名下的可以切换</w:t>
      </w:r>
    </w:p>
    <w:p w14:paraId="2837F190">
      <w:pPr>
        <w:jc w:val="both"/>
      </w:pPr>
      <w:r>
        <w:drawing>
          <wp:inline distT="0" distB="0" distL="114300" distR="114300">
            <wp:extent cx="5263515" cy="1744980"/>
            <wp:effectExtent l="0" t="0" r="3810" b="762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7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748D6">
      <w:pPr>
        <w:jc w:val="both"/>
      </w:pPr>
    </w:p>
    <w:p w14:paraId="69DC645C">
      <w:p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选择需要变动的资产--点击生成变动单</w:t>
      </w:r>
    </w:p>
    <w:p w14:paraId="4F731AEE">
      <w:pPr>
        <w:jc w:val="both"/>
      </w:pPr>
      <w:r>
        <w:drawing>
          <wp:inline distT="0" distB="0" distL="114300" distR="114300">
            <wp:extent cx="5257800" cy="1677670"/>
            <wp:effectExtent l="0" t="0" r="0" b="825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67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498C3">
      <w:pPr>
        <w:jc w:val="both"/>
      </w:pPr>
    </w:p>
    <w:p w14:paraId="39C8D94B"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变动后使用情况是变动哪一个填写哪一个，</w:t>
      </w:r>
      <w:r>
        <w:rPr>
          <w:rFonts w:hint="eastAsia"/>
          <w:color w:val="FF0000"/>
          <w:sz w:val="32"/>
          <w:szCs w:val="32"/>
          <w:lang w:val="en-US" w:eastAsia="zh-CN"/>
        </w:rPr>
        <w:t>没有变的内容不用填写</w:t>
      </w:r>
      <w:r>
        <w:rPr>
          <w:rFonts w:hint="eastAsia"/>
          <w:sz w:val="32"/>
          <w:szCs w:val="32"/>
          <w:lang w:val="en-US" w:eastAsia="zh-CN"/>
        </w:rPr>
        <w:t>要是只变动使用人就只选择变动后的使用人</w:t>
      </w:r>
    </w:p>
    <w:p w14:paraId="690A4D99">
      <w:pPr>
        <w:jc w:val="both"/>
        <w:rPr>
          <w:rFonts w:hint="eastAsia"/>
          <w:color w:val="FF0000"/>
          <w:sz w:val="32"/>
          <w:szCs w:val="32"/>
          <w:lang w:val="en-US" w:eastAsia="zh-CN"/>
        </w:rPr>
      </w:pPr>
      <w:r>
        <w:rPr>
          <w:rFonts w:hint="eastAsia"/>
          <w:color w:val="FF0000"/>
          <w:sz w:val="32"/>
          <w:szCs w:val="32"/>
          <w:lang w:val="en-US" w:eastAsia="zh-CN"/>
        </w:rPr>
        <w:t>填写变动原因</w:t>
      </w:r>
    </w:p>
    <w:p w14:paraId="46B84D27">
      <w:pPr>
        <w:jc w:val="both"/>
      </w:pPr>
      <w:r>
        <w:rPr>
          <w:rFonts w:hint="eastAsia"/>
          <w:sz w:val="32"/>
          <w:szCs w:val="32"/>
          <w:lang w:val="en-US" w:eastAsia="zh-CN"/>
        </w:rPr>
        <w:t>填写完成之后点击保存提交审核</w:t>
      </w:r>
    </w:p>
    <w:p w14:paraId="2EFA5ABF">
      <w:pPr>
        <w:jc w:val="both"/>
      </w:pPr>
      <w:r>
        <w:drawing>
          <wp:inline distT="0" distB="0" distL="114300" distR="114300">
            <wp:extent cx="5268595" cy="2160905"/>
            <wp:effectExtent l="0" t="0" r="8255" b="127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16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BC9DB4">
      <w:pPr>
        <w:jc w:val="both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审核步骤-调出单位管理员审核-资产处审核-接收部门管理员审核-接收人审核</w:t>
      </w:r>
    </w:p>
    <w:p w14:paraId="79C1129D">
      <w:pPr>
        <w:pStyle w:val="4"/>
        <w:bidi w:val="0"/>
        <w:rPr>
          <w:rFonts w:hint="eastAsia"/>
          <w:lang w:val="en-US" w:eastAsia="zh-CN"/>
        </w:rPr>
      </w:pPr>
      <w:bookmarkStart w:id="8" w:name="_Toc29493"/>
      <w:r>
        <w:rPr>
          <w:rFonts w:hint="eastAsia"/>
          <w:lang w:val="en-US" w:eastAsia="zh-CN"/>
        </w:rPr>
        <w:t>2.2.1审核流程</w:t>
      </w:r>
      <w:bookmarkEnd w:id="8"/>
    </w:p>
    <w:p w14:paraId="7B484D46"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提交完成之后--部门内管理员审核--领用人审核（变动后使用人）</w:t>
      </w:r>
    </w:p>
    <w:p w14:paraId="3E8908E8"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可以点击查看进度看到流程中该哪位老师审核</w:t>
      </w:r>
    </w:p>
    <w:p w14:paraId="3921FE66">
      <w:pPr>
        <w:jc w:val="both"/>
      </w:pPr>
      <w:r>
        <w:drawing>
          <wp:inline distT="0" distB="0" distL="114300" distR="114300">
            <wp:extent cx="5273040" cy="1884045"/>
            <wp:effectExtent l="0" t="0" r="3810" b="190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88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91D8F">
      <w:pPr>
        <w:pStyle w:val="3"/>
        <w:bidi w:val="0"/>
        <w:jc w:val="center"/>
        <w:rPr>
          <w:rFonts w:hint="eastAsia"/>
          <w:lang w:val="en-US" w:eastAsia="zh-CN"/>
        </w:rPr>
      </w:pPr>
      <w:bookmarkStart w:id="9" w:name="_Toc16776"/>
      <w:r>
        <w:rPr>
          <w:rFonts w:hint="eastAsia"/>
          <w:lang w:val="en-US" w:eastAsia="zh-CN"/>
        </w:rPr>
        <w:t>（三）查询</w:t>
      </w:r>
      <w:bookmarkEnd w:id="9"/>
    </w:p>
    <w:p w14:paraId="4BDCEA28">
      <w:pPr>
        <w:numPr>
          <w:ilvl w:val="0"/>
          <w:numId w:val="0"/>
        </w:numPr>
        <w:jc w:val="both"/>
        <w:rPr>
          <w:rFonts w:hint="eastAsia"/>
          <w:color w:val="FF0000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查询分为</w:t>
      </w:r>
      <w:r>
        <w:rPr>
          <w:rFonts w:hint="eastAsia"/>
          <w:color w:val="FF0000"/>
          <w:sz w:val="32"/>
          <w:szCs w:val="32"/>
          <w:lang w:val="en-US" w:eastAsia="zh-CN"/>
        </w:rPr>
        <w:t>公开查询</w:t>
      </w:r>
      <w:r>
        <w:rPr>
          <w:rFonts w:hint="eastAsia"/>
          <w:sz w:val="32"/>
          <w:szCs w:val="32"/>
          <w:lang w:val="en-US" w:eastAsia="zh-CN"/>
        </w:rPr>
        <w:t>，</w:t>
      </w:r>
      <w:r>
        <w:rPr>
          <w:rFonts w:hint="eastAsia"/>
          <w:color w:val="FF0000"/>
          <w:sz w:val="32"/>
          <w:szCs w:val="32"/>
          <w:lang w:val="en-US" w:eastAsia="zh-CN"/>
        </w:rPr>
        <w:t>建账单查询</w:t>
      </w:r>
      <w:r>
        <w:rPr>
          <w:rFonts w:hint="eastAsia"/>
          <w:sz w:val="32"/>
          <w:szCs w:val="32"/>
          <w:lang w:val="en-US" w:eastAsia="zh-CN"/>
        </w:rPr>
        <w:t>，</w:t>
      </w:r>
      <w:r>
        <w:rPr>
          <w:rFonts w:hint="eastAsia"/>
          <w:color w:val="FF0000"/>
          <w:sz w:val="32"/>
          <w:szCs w:val="32"/>
          <w:lang w:val="en-US" w:eastAsia="zh-CN"/>
        </w:rPr>
        <w:t>资产查询</w:t>
      </w:r>
      <w:r>
        <w:rPr>
          <w:rFonts w:hint="eastAsia"/>
          <w:sz w:val="32"/>
          <w:szCs w:val="32"/>
          <w:lang w:val="en-US" w:eastAsia="zh-CN"/>
        </w:rPr>
        <w:t>，</w:t>
      </w:r>
      <w:r>
        <w:rPr>
          <w:rFonts w:hint="eastAsia"/>
          <w:color w:val="FF0000"/>
          <w:sz w:val="32"/>
          <w:szCs w:val="32"/>
          <w:lang w:val="en-US" w:eastAsia="zh-CN"/>
        </w:rPr>
        <w:t>资产变动查询</w:t>
      </w:r>
      <w:r>
        <w:rPr>
          <w:rFonts w:hint="eastAsia"/>
          <w:sz w:val="32"/>
          <w:szCs w:val="32"/>
          <w:lang w:val="en-US" w:eastAsia="zh-CN"/>
        </w:rPr>
        <w:t>，</w:t>
      </w:r>
      <w:r>
        <w:rPr>
          <w:rFonts w:hint="eastAsia"/>
          <w:color w:val="FF0000"/>
          <w:sz w:val="32"/>
          <w:szCs w:val="32"/>
          <w:lang w:val="en-US" w:eastAsia="zh-CN"/>
        </w:rPr>
        <w:t>资产处置查询</w:t>
      </w:r>
      <w:r>
        <w:rPr>
          <w:rFonts w:hint="eastAsia"/>
          <w:sz w:val="32"/>
          <w:szCs w:val="32"/>
          <w:lang w:val="en-US" w:eastAsia="zh-CN"/>
        </w:rPr>
        <w:t>，</w:t>
      </w:r>
      <w:r>
        <w:rPr>
          <w:rFonts w:hint="eastAsia"/>
          <w:color w:val="FF0000"/>
          <w:sz w:val="32"/>
          <w:szCs w:val="32"/>
          <w:lang w:val="en-US" w:eastAsia="zh-CN"/>
        </w:rPr>
        <w:t>资产分类查询</w:t>
      </w:r>
    </w:p>
    <w:p w14:paraId="094BF69F">
      <w:pPr>
        <w:pStyle w:val="4"/>
        <w:bidi w:val="0"/>
        <w:rPr>
          <w:rFonts w:hint="eastAsia"/>
          <w:lang w:val="en-US" w:eastAsia="zh-CN"/>
        </w:rPr>
      </w:pPr>
      <w:bookmarkStart w:id="10" w:name="_Toc23741"/>
      <w:r>
        <w:rPr>
          <w:rFonts w:hint="eastAsia"/>
          <w:lang w:val="en-US" w:eastAsia="zh-CN"/>
        </w:rPr>
        <w:t>3.1公开查询</w:t>
      </w:r>
      <w:bookmarkEnd w:id="10"/>
    </w:p>
    <w:p w14:paraId="316D73A1">
      <w:pPr>
        <w:numPr>
          <w:ilvl w:val="0"/>
          <w:numId w:val="0"/>
        </w:numPr>
        <w:jc w:val="both"/>
        <w:rPr>
          <w:rFonts w:hint="eastAsia"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32"/>
          <w:szCs w:val="32"/>
          <w:lang w:val="en-US" w:eastAsia="zh-CN"/>
        </w:rPr>
        <w:t>公开查询分为我的全部资产，本单位全部资产</w:t>
      </w:r>
    </w:p>
    <w:p w14:paraId="66404CAC">
      <w:pPr>
        <w:numPr>
          <w:ilvl w:val="0"/>
          <w:numId w:val="0"/>
        </w:numPr>
        <w:jc w:val="both"/>
        <w:rPr>
          <w:rFonts w:hint="eastAsia"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32"/>
          <w:szCs w:val="32"/>
          <w:lang w:val="en-US" w:eastAsia="zh-CN"/>
        </w:rPr>
        <w:t>我的全部资产：我名下的全部资产</w:t>
      </w:r>
    </w:p>
    <w:p w14:paraId="09EACDA0">
      <w:pPr>
        <w:numPr>
          <w:ilvl w:val="0"/>
          <w:numId w:val="0"/>
        </w:numPr>
        <w:jc w:val="both"/>
        <w:rPr>
          <w:rFonts w:hint="eastAsia"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32"/>
          <w:szCs w:val="32"/>
          <w:lang w:val="en-US" w:eastAsia="zh-CN"/>
        </w:rPr>
        <w:t>本单位全部资产：管理员老师管理权下单位的资产（</w:t>
      </w:r>
      <w:r>
        <w:rPr>
          <w:rFonts w:hint="eastAsia"/>
          <w:color w:val="00B0F0"/>
          <w:sz w:val="32"/>
          <w:szCs w:val="32"/>
          <w:lang w:val="en-US" w:eastAsia="zh-CN"/>
        </w:rPr>
        <w:t>普通老师没有改权限</w:t>
      </w:r>
      <w:r>
        <w:rPr>
          <w:rFonts w:hint="eastAsia"/>
          <w:color w:val="auto"/>
          <w:sz w:val="32"/>
          <w:szCs w:val="32"/>
          <w:lang w:val="en-US" w:eastAsia="zh-CN"/>
        </w:rPr>
        <w:t>）</w:t>
      </w:r>
    </w:p>
    <w:p w14:paraId="2696CF52">
      <w:pPr>
        <w:pStyle w:val="4"/>
        <w:bidi w:val="0"/>
        <w:rPr>
          <w:rFonts w:hint="eastAsia"/>
          <w:lang w:val="en-US" w:eastAsia="zh-CN"/>
        </w:rPr>
      </w:pPr>
      <w:bookmarkStart w:id="11" w:name="_Toc5063"/>
      <w:r>
        <w:rPr>
          <w:rFonts w:hint="eastAsia"/>
          <w:lang w:val="en-US" w:eastAsia="zh-CN"/>
        </w:rPr>
        <w:t>3.2建账单查询（入固单）：</w:t>
      </w:r>
      <w:bookmarkEnd w:id="11"/>
    </w:p>
    <w:p w14:paraId="6F2C8618">
      <w:pPr>
        <w:numPr>
          <w:ilvl w:val="0"/>
          <w:numId w:val="0"/>
        </w:numPr>
        <w:jc w:val="both"/>
        <w:rPr>
          <w:rFonts w:hint="eastAsia"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32"/>
          <w:szCs w:val="32"/>
          <w:lang w:val="en-US" w:eastAsia="zh-CN"/>
        </w:rPr>
        <w:t>建账单查询分为建账单信息查询和建账单号查询</w:t>
      </w:r>
    </w:p>
    <w:p w14:paraId="6F0CCC4B">
      <w:pPr>
        <w:numPr>
          <w:ilvl w:val="0"/>
          <w:numId w:val="0"/>
        </w:numPr>
        <w:jc w:val="both"/>
      </w:pPr>
      <w:r>
        <w:rPr>
          <w:rFonts w:hint="eastAsia"/>
          <w:color w:val="auto"/>
          <w:sz w:val="32"/>
          <w:szCs w:val="32"/>
          <w:lang w:val="en-US" w:eastAsia="zh-CN"/>
        </w:rPr>
        <w:t>点击建账单信息查询模块，进入信息列表页面，可根据页面上方单据状态、左侧单位信息筛选信息</w:t>
      </w:r>
    </w:p>
    <w:p w14:paraId="3AE43C5C">
      <w:pPr>
        <w:pStyle w:val="4"/>
        <w:bidi w:val="0"/>
        <w:rPr>
          <w:rFonts w:hint="eastAsia"/>
          <w:lang w:val="en-US" w:eastAsia="zh-CN"/>
        </w:rPr>
      </w:pPr>
      <w:bookmarkStart w:id="12" w:name="_Toc17182"/>
      <w:r>
        <w:rPr>
          <w:rFonts w:hint="eastAsia"/>
          <w:lang w:val="en-US" w:eastAsia="zh-CN"/>
        </w:rPr>
        <w:t>3.3资产信息查询（建账单里面的卡片信息）：</w:t>
      </w:r>
      <w:bookmarkEnd w:id="12"/>
    </w:p>
    <w:p w14:paraId="59A4A819">
      <w:pPr>
        <w:numPr>
          <w:ilvl w:val="0"/>
          <w:numId w:val="0"/>
        </w:numPr>
        <w:jc w:val="both"/>
        <w:rPr>
          <w:rFonts w:hint="eastAsia"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32"/>
          <w:szCs w:val="32"/>
          <w:lang w:val="en-US" w:eastAsia="zh-CN"/>
        </w:rPr>
        <w:t>资产信息查询：可以按照入账日期，审核状态，资产分类来进行查询（查出来的数据除已经处置的资产都会显示）</w:t>
      </w:r>
    </w:p>
    <w:p w14:paraId="2109C385">
      <w:pPr>
        <w:numPr>
          <w:ilvl w:val="0"/>
          <w:numId w:val="0"/>
        </w:numPr>
        <w:jc w:val="both"/>
        <w:rPr>
          <w:rFonts w:hint="eastAsia"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32"/>
          <w:szCs w:val="32"/>
          <w:lang w:val="en-US" w:eastAsia="zh-CN"/>
        </w:rPr>
        <w:t>已处置资产信息查询：已经处置的资产可以在这进行查询</w:t>
      </w:r>
    </w:p>
    <w:p w14:paraId="40B6968D">
      <w:pPr>
        <w:numPr>
          <w:ilvl w:val="0"/>
          <w:numId w:val="0"/>
        </w:numPr>
        <w:jc w:val="both"/>
        <w:rPr>
          <w:rFonts w:hint="eastAsia"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32"/>
          <w:szCs w:val="32"/>
          <w:lang w:val="en-US" w:eastAsia="zh-CN"/>
        </w:rPr>
        <w:t>资产编号查询：可以输入资产编号进行查询</w:t>
      </w:r>
    </w:p>
    <w:p w14:paraId="59BB0A50">
      <w:pPr>
        <w:pStyle w:val="4"/>
        <w:bidi w:val="0"/>
        <w:rPr>
          <w:rFonts w:hint="eastAsia"/>
          <w:lang w:val="en-US" w:eastAsia="zh-CN"/>
        </w:rPr>
      </w:pPr>
      <w:bookmarkStart w:id="13" w:name="_Toc11367"/>
      <w:r>
        <w:rPr>
          <w:rFonts w:hint="eastAsia"/>
          <w:lang w:val="en-US" w:eastAsia="zh-CN"/>
        </w:rPr>
        <w:t>3.4资产变动信息查询：</w:t>
      </w:r>
      <w:bookmarkEnd w:id="13"/>
    </w:p>
    <w:p w14:paraId="5F1C2E55">
      <w:pPr>
        <w:numPr>
          <w:ilvl w:val="0"/>
          <w:numId w:val="0"/>
        </w:numPr>
        <w:jc w:val="both"/>
        <w:rPr>
          <w:rFonts w:hint="eastAsia"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32"/>
          <w:szCs w:val="32"/>
          <w:lang w:val="en-US" w:eastAsia="zh-CN"/>
        </w:rPr>
        <w:t>单位内，单位间调拨的单据可以在这进行查询</w:t>
      </w:r>
    </w:p>
    <w:p w14:paraId="31D6DA0F">
      <w:pPr>
        <w:pStyle w:val="4"/>
        <w:bidi w:val="0"/>
        <w:rPr>
          <w:rFonts w:hint="eastAsia"/>
          <w:lang w:val="en-US" w:eastAsia="zh-CN"/>
        </w:rPr>
      </w:pPr>
      <w:bookmarkStart w:id="14" w:name="_Toc27790"/>
      <w:r>
        <w:rPr>
          <w:rFonts w:hint="eastAsia"/>
          <w:lang w:val="en-US" w:eastAsia="zh-CN"/>
        </w:rPr>
        <w:t>3.5资产分类查询：</w:t>
      </w:r>
      <w:bookmarkEnd w:id="14"/>
    </w:p>
    <w:p w14:paraId="14602CF6">
      <w:pPr>
        <w:numPr>
          <w:ilvl w:val="0"/>
          <w:numId w:val="0"/>
        </w:numPr>
        <w:jc w:val="both"/>
        <w:rPr>
          <w:rFonts w:hint="eastAsia"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32"/>
          <w:szCs w:val="32"/>
          <w:lang w:val="en-US" w:eastAsia="zh-CN"/>
        </w:rPr>
        <w:t>按存放地点查询：在这可以按存放地点进行查询</w:t>
      </w:r>
    </w:p>
    <w:p w14:paraId="4744D808">
      <w:pPr>
        <w:numPr>
          <w:ilvl w:val="0"/>
          <w:numId w:val="0"/>
        </w:numPr>
        <w:jc w:val="both"/>
        <w:rPr>
          <w:rFonts w:hint="default"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32"/>
          <w:szCs w:val="32"/>
          <w:lang w:val="en-US" w:eastAsia="zh-CN"/>
        </w:rPr>
        <w:t>按使用人查询：在这可以按照部门里面的人员信息快速查看该老师名下的资产信息</w:t>
      </w:r>
    </w:p>
    <w:p w14:paraId="63193F0D">
      <w:pPr>
        <w:numPr>
          <w:ilvl w:val="0"/>
          <w:numId w:val="0"/>
        </w:numPr>
        <w:jc w:val="both"/>
        <w:rPr>
          <w:rFonts w:hint="eastAsia"/>
          <w:color w:val="auto"/>
          <w:sz w:val="32"/>
          <w:szCs w:val="32"/>
          <w:lang w:val="en-US" w:eastAsia="zh-CN"/>
        </w:rPr>
      </w:pPr>
    </w:p>
    <w:p w14:paraId="7B6CA8E5">
      <w:pPr>
        <w:numPr>
          <w:ilvl w:val="0"/>
          <w:numId w:val="0"/>
        </w:numPr>
        <w:jc w:val="both"/>
        <w:rPr>
          <w:rFonts w:hint="default"/>
          <w:color w:val="auto"/>
          <w:sz w:val="32"/>
          <w:szCs w:val="32"/>
          <w:lang w:val="en-US" w:eastAsia="zh-CN"/>
        </w:rPr>
      </w:pPr>
    </w:p>
    <w:p w14:paraId="5221D39E">
      <w:pPr>
        <w:numPr>
          <w:ilvl w:val="0"/>
          <w:numId w:val="0"/>
        </w:numPr>
        <w:jc w:val="both"/>
        <w:rPr>
          <w:rFonts w:hint="default"/>
          <w:color w:val="auto"/>
          <w:sz w:val="32"/>
          <w:szCs w:val="32"/>
          <w:lang w:val="en-US" w:eastAsia="zh-CN"/>
        </w:rPr>
      </w:pPr>
    </w:p>
    <w:p w14:paraId="33F306DB">
      <w:pPr>
        <w:numPr>
          <w:ilvl w:val="0"/>
          <w:numId w:val="0"/>
        </w:numPr>
        <w:jc w:val="both"/>
      </w:pPr>
    </w:p>
    <w:p w14:paraId="6EF00A13">
      <w:pPr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51D42D9B">
      <w:pPr>
        <w:numPr>
          <w:ilvl w:val="0"/>
          <w:numId w:val="0"/>
        </w:numPr>
        <w:jc w:val="both"/>
        <w:rPr>
          <w:rFonts w:hint="default"/>
          <w:color w:val="auto"/>
          <w:sz w:val="32"/>
          <w:szCs w:val="32"/>
          <w:lang w:val="en-US" w:eastAsia="zh-CN"/>
        </w:rPr>
      </w:pPr>
    </w:p>
    <w:p w14:paraId="15DFE41E">
      <w:pPr>
        <w:numPr>
          <w:ilvl w:val="0"/>
          <w:numId w:val="0"/>
        </w:numPr>
        <w:jc w:val="both"/>
        <w:rPr>
          <w:rFonts w:hint="default"/>
          <w:color w:val="auto"/>
          <w:sz w:val="32"/>
          <w:szCs w:val="32"/>
          <w:lang w:val="en-US" w:eastAsia="zh-CN"/>
        </w:rPr>
      </w:pPr>
    </w:p>
    <w:p w14:paraId="4692D485">
      <w:pPr>
        <w:numPr>
          <w:ilvl w:val="0"/>
          <w:numId w:val="0"/>
        </w:numPr>
        <w:jc w:val="both"/>
        <w:rPr>
          <w:rFonts w:hint="default"/>
          <w:color w:val="FF0000"/>
          <w:sz w:val="32"/>
          <w:szCs w:val="32"/>
          <w:lang w:val="en-US" w:eastAsia="zh-CN"/>
        </w:rPr>
      </w:pPr>
    </w:p>
    <w:p w14:paraId="01495392">
      <w:pPr>
        <w:numPr>
          <w:ilvl w:val="0"/>
          <w:numId w:val="0"/>
        </w:numPr>
        <w:jc w:val="both"/>
        <w:rPr>
          <w:rFonts w:hint="default"/>
          <w:sz w:val="52"/>
          <w:szCs w:val="52"/>
          <w:lang w:val="en-US" w:eastAsia="zh-CN"/>
        </w:rPr>
      </w:pPr>
    </w:p>
    <w:p w14:paraId="4F068542">
      <w:pPr>
        <w:jc w:val="both"/>
        <w:rPr>
          <w:rFonts w:hint="default"/>
          <w:lang w:val="en-US" w:eastAsia="zh-CN"/>
        </w:rPr>
      </w:pPr>
    </w:p>
    <w:p w14:paraId="7C1C7D85">
      <w:pPr>
        <w:jc w:val="both"/>
        <w:rPr>
          <w:rFonts w:hint="default"/>
          <w:lang w:val="en-US" w:eastAsia="zh-CN"/>
        </w:rPr>
      </w:pPr>
    </w:p>
    <w:p w14:paraId="5F409C84">
      <w:pPr>
        <w:spacing w:before="0" w:beforeLines="0" w:after="0" w:afterLines="0" w:line="240" w:lineRule="auto"/>
        <w:ind w:left="0" w:leftChars="0" w:right="0" w:rightChars="0" w:firstLine="0" w:firstLineChars="0"/>
        <w:jc w:val="both"/>
        <w:outlineLvl w:val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367ABD"/>
    <w:rsid w:val="23B73EA6"/>
    <w:rsid w:val="426D5133"/>
    <w:rsid w:val="656D7BB9"/>
    <w:rsid w:val="694A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qFormat/>
    <w:uiPriority w:val="0"/>
    <w:pPr>
      <w:ind w:left="840" w:leftChars="400"/>
    </w:pPr>
  </w:style>
  <w:style w:type="paragraph" w:styleId="6">
    <w:name w:val="toc 1"/>
    <w:basedOn w:val="1"/>
    <w:next w:val="1"/>
    <w:qFormat/>
    <w:uiPriority w:val="0"/>
  </w:style>
  <w:style w:type="paragraph" w:styleId="7">
    <w:name w:val="toc 2"/>
    <w:basedOn w:val="1"/>
    <w:next w:val="1"/>
    <w:qFormat/>
    <w:uiPriority w:val="0"/>
    <w:pPr>
      <w:ind w:left="420" w:leftChars="200"/>
    </w:pPr>
  </w:style>
  <w:style w:type="paragraph" w:customStyle="1" w:styleId="10">
    <w:name w:val="WPSOffice手动目录 1"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11">
    <w:name w:val="WPSOffice手动目录 2"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12">
    <w:name w:val="WPSOffice手动目录 3"/>
    <w:qFormat/>
    <w:uiPriority w:val="0"/>
    <w:pPr>
      <w:ind w:leftChars="40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1499</Words>
  <Characters>1566</Characters>
  <Lines>0</Lines>
  <Paragraphs>0</Paragraphs>
  <TotalTime>2</TotalTime>
  <ScaleCrop>false</ScaleCrop>
  <LinksUpToDate>false</LinksUpToDate>
  <CharactersWithSpaces>1609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2025-10-28T01:54:00Z</dcterms:created>
  <dc:creator>安安</dc:creator>
  <cp:lastModifiedBy>Chance</cp:lastModifiedBy>
  <dcterms:modified xsi:type="dcterms:W3CDTF">2026-04-21T03:17:02Z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eyJoZGlkIjoiMzEwNTM5NzYwMDRjMzkwZTVkZjY2ODkwMGIxNGU0OTUiLCJ1c2VySWQiOiIzMzUzODU0NjcifQ==</vt:lpwstr>
  </property>
  <property fmtid="{D5CDD505-2E9C-101B-9397-08002B2CF9AE}" pid="4" name="ICV">
    <vt:lpwstr>3C29DA9C73E84731ACE198415B8FC126_13</vt:lpwstr>
  </property>
</Properties>
</file>