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color w:val="auto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新疆职业大学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政府采购需求调查报告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（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服务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类）</w:t>
      </w:r>
    </w:p>
    <w:p>
      <w:pPr>
        <w:rPr>
          <w:rFonts w:hint="eastAsia"/>
        </w:rPr>
      </w:pPr>
    </w:p>
    <w:tbl>
      <w:tblPr>
        <w:tblStyle w:val="34"/>
        <w:tblW w:w="86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0" w:type="dxa"/>
            <w:tcBorders>
              <w:left w:val="single" w:color="CC0000" w:sz="18" w:space="0"/>
            </w:tcBorders>
            <w:tcMar>
              <w:left w:w="480" w:type="dxa"/>
            </w:tcMar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</w:rPr>
              <w:t>编制依据：《中华人民共和国政府采购法（2024修订）》、《中华人民共和国政府采购法实施条例》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</w:rPr>
              <w:t xml:space="preserve">《政府采购需求管理办法》（财库〔2021〕22号）、《政府采购框架协议采购方式管理暂行办法》（财政部令第110号）、财政部《关于促进政府采购公平竞争优化营商环境的通知》（财库〔2019〕38号）、地方政府采购监管最新要求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  <w:lang w:eastAsia="zh-CN"/>
              </w:rPr>
              <w:t>、《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  <w:lang w:val="en-US" w:eastAsia="zh-CN"/>
              </w:rPr>
              <w:t>新疆职业大学招标与采购管理办法》（新职大规〔2025〕2号 ）。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一、前置合规校验表</w:t>
      </w:r>
    </w:p>
    <w:tbl>
      <w:tblPr>
        <w:tblStyle w:val="34"/>
        <w:tblW w:w="9018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8"/>
        <w:gridCol w:w="2359"/>
        <w:gridCol w:w="3123"/>
        <w:gridCol w:w="418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tblHeader/>
          <w:jc w:val="center"/>
        </w:trPr>
        <w:tc>
          <w:tcPr>
            <w:tcW w:w="3118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校验项</w:t>
            </w:r>
          </w:p>
        </w:tc>
        <w:tc>
          <w:tcPr>
            <w:tcW w:w="2359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校验结果</w:t>
            </w:r>
          </w:p>
        </w:tc>
        <w:tc>
          <w:tcPr>
            <w:tcW w:w="3541" w:type="dxa"/>
            <w:gridSpan w:val="2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备注说明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3118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是否属于集采目录内品目</w:t>
            </w:r>
          </w:p>
        </w:tc>
        <w:tc>
          <w:tcPr>
            <w:tcW w:w="2359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3541" w:type="dxa"/>
            <w:gridSpan w:val="2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集采目录内品目须严格执行集中采购规定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bookmarkStart w:id="0" w:name="_GoBack" w:colFirst="0" w:colLast="2"/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  <w:t>是否达到政府采购分散采购限额标准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50万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3541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  <w:t>限额以下可按单位内控制度采购</w:t>
            </w:r>
          </w:p>
        </w:tc>
      </w:tr>
      <w:bookmarkEnd w:id="0"/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是否符合创新服务采购扶持政策要求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□是 □否 □不适用</w:t>
            </w:r>
          </w:p>
        </w:tc>
        <w:tc>
          <w:tcPr>
            <w:tcW w:w="3541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符合条件的创新服务可享受采购支持政策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是否涉及涉密采购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3541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涉密采购须符合保密管理相关规定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3118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是否已完成采购意向公开</w:t>
            </w:r>
          </w:p>
        </w:tc>
        <w:tc>
          <w:tcPr>
            <w:tcW w:w="2359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 □不适用</w:t>
            </w:r>
          </w:p>
        </w:tc>
        <w:tc>
          <w:tcPr>
            <w:tcW w:w="3541" w:type="dxa"/>
            <w:gridSpan w:val="2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公开时间距采购活动启动不少于30日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8" w:type="dxa"/>
          <w:trHeight w:val="442" w:hRule="atLeast"/>
          <w:jc w:val="center"/>
        </w:trPr>
        <w:tc>
          <w:tcPr>
            <w:tcW w:w="8600" w:type="dxa"/>
            <w:gridSpan w:val="3"/>
            <w:tcBorders>
              <w:left w:val="single" w:color="CC0000" w:sz="18" w:space="0"/>
            </w:tcBorders>
            <w:tcMar>
              <w:left w:w="480" w:type="dxa"/>
            </w:tcMar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</w:rPr>
              <w:t>校验不通过项不得进入后续采购流程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二、基本信息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2775"/>
        <w:gridCol w:w="1650"/>
        <w:gridCol w:w="2855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60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277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项目编码</w:t>
            </w:r>
          </w:p>
        </w:tc>
        <w:tc>
          <w:tcPr>
            <w:tcW w:w="285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可由归口部门或者项目办编制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60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项目预算（元）</w:t>
            </w:r>
          </w:p>
        </w:tc>
        <w:tc>
          <w:tcPr>
            <w:tcW w:w="277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服务期限</w:t>
            </w:r>
          </w:p>
        </w:tc>
        <w:tc>
          <w:tcPr>
            <w:tcW w:w="285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年，可续签不超过2次，累计不超过3年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资金来源</w:t>
            </w:r>
          </w:p>
        </w:tc>
        <w:tc>
          <w:tcPr>
            <w:tcW w:w="7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需求部门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调查负责人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360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2775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调查周期</w:t>
            </w:r>
          </w:p>
        </w:tc>
        <w:tc>
          <w:tcPr>
            <w:tcW w:w="2855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280" w:firstLineChars="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年 月 日 — 年 月 日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三、项目背景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（填写要求：说明服务采购必要性、政策依据、现状服务痛点、拟解决的业务问题、预期绩效目标、服务覆盖人群，不少于300字）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四、需求调查核心内容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（一）行业服务标准调研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en-US"/>
        </w:rPr>
        <w:t xml:space="preserve"> 所属服务行业最新发展水平、服务模式创新情况、国家/行业服务标准清单；2. 服务人员资质要求是否符合国家职业资格目录规定；3. 国家及地方对该类服务的监管要求。（不少于200字）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（二）市场供给情况调研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1. 符合资质要求的服务商数量、头部服务商市场占有率、市场竞争格局判定；2. 本地化服务团队配置情况、同类项目服务经验；3. 近1年该类服务市场价格波动趋势。（不少于200字）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 w:bidi="ar"/>
        </w:rPr>
        <w:t>（注：调研供应商不得为关联关系或单一意向供应商，须覆盖大中小不同规模市场主体）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（三）同类项目历史数据分析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1. 本单位及本地区近3年同类服务项目成交价格区间、计价模式（固定总价/按人次付费/按工作量付费等）；2. 同类项目履约评价、常见服务质量问题、用户满意度数据；3. 同类项目质疑投诉案例及风险点。（不少于150字）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（四）全生命周期成本分析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1. 服务期内人员成本、耗材成本、管理成本变动趋势分析；2. 服务期满后续约服务价格预估；3. 服务成果知识产权后续使用成本、更新维护成本测算。（不少于150字）</w:t>
      </w:r>
    </w:p>
    <w:p>
      <w:pPr>
        <w:pStyle w:val="5"/>
        <w:keepNext w:val="0"/>
        <w:keepLines w:val="0"/>
        <w:pageBreakBefore w:val="0"/>
        <w:widowControl/>
        <w:tabs>
          <w:tab w:val="left" w:pos="24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（五）采购参数歧视性自检清单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5"/>
        <w:gridCol w:w="1895"/>
        <w:gridCol w:w="1830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91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自检项</w:t>
            </w:r>
          </w:p>
        </w:tc>
        <w:tc>
          <w:tcPr>
            <w:tcW w:w="189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自检结果</w:t>
            </w:r>
          </w:p>
        </w:tc>
        <w:tc>
          <w:tcPr>
            <w:tcW w:w="1830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佐证说明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91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是否设置与服务无关的资质、规模、业绩门槛</w:t>
            </w:r>
          </w:p>
        </w:tc>
        <w:tc>
          <w:tcPr>
            <w:tcW w:w="189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1830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91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是否设置注册资本、资产总额、营业收入、从业人员等不合理规模条件</w:t>
            </w:r>
          </w:p>
        </w:tc>
        <w:tc>
          <w:tcPr>
            <w:tcW w:w="189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□是 □否</w:t>
            </w:r>
          </w:p>
        </w:tc>
        <w:tc>
          <w:tcPr>
            <w:tcW w:w="1830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不得设置超出项目需求的规模性歧视条款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9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是否指定特定服务商的服务标准作为需求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9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服务标准是否全部量化可考核，无“优质”“良好”等模糊表述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915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是否设置排斥中小微企业的不合理要求</w:t>
            </w:r>
          </w:p>
        </w:tc>
        <w:tc>
          <w:tcPr>
            <w:tcW w:w="1895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□是 □否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0" w:type="dxa"/>
            <w:gridSpan w:val="3"/>
            <w:tcBorders>
              <w:left w:val="single" w:color="CC0000" w:sz="18" w:space="0"/>
            </w:tcBorders>
            <w:tcMar>
              <w:left w:w="480" w:type="dxa"/>
            </w:tcMar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FF0000"/>
                <w:sz w:val="28"/>
                <w:szCs w:val="28"/>
              </w:rPr>
              <w:t>存在“是”选项的须立即调整需求参数，否则不得进入采购流程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五、调查方式与对象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7295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4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调查方式</w:t>
            </w:r>
          </w:p>
        </w:tc>
        <w:tc>
          <w:tcPr>
            <w:tcW w:w="729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□专家咨询 □公开论证 □问卷调查 □市场走访 □历史数据查询 □其他：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45" w:type="dxa"/>
            <w:tcBorders>
              <w:top w:val="single" w:color="333333" w:sz="4" w:space="0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调查对象</w:t>
            </w:r>
          </w:p>
        </w:tc>
        <w:tc>
          <w:tcPr>
            <w:tcW w:w="7295" w:type="dxa"/>
            <w:tcBorders>
              <w:top w:val="single" w:color="333333" w:sz="4" w:space="0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1. 单位名称： 联系人： 联系电话：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2. 单位名称： 联系人： 联系电话：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3. 单位名称： 联系人： 联系电话：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 xml:space="preserve">4.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行业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专家姓名： 所属领域： 职称：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0" w:type="dxa"/>
            <w:gridSpan w:val="2"/>
            <w:tcBorders>
              <w:left w:val="single" w:color="CC0000" w:sz="18" w:space="0"/>
            </w:tcBorders>
            <w:tcMar>
              <w:left w:w="480" w:type="dxa"/>
            </w:tcMar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FF0000"/>
                <w:sz w:val="28"/>
                <w:szCs w:val="28"/>
              </w:rPr>
              <w:t>调查对象不得少于3家服务商，须覆盖不同规模、不同类型市场主体，邀请专家不得与供应商存在利害关系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服务内容清单</w:t>
      </w:r>
    </w:p>
    <w:tbl>
      <w:tblPr>
        <w:tblStyle w:val="34"/>
        <w:tblW w:w="8421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925"/>
        <w:gridCol w:w="1251"/>
        <w:gridCol w:w="925"/>
        <w:gridCol w:w="925"/>
        <w:gridCol w:w="1251"/>
        <w:gridCol w:w="1285"/>
        <w:gridCol w:w="1285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  <w:tblHeader/>
          <w:jc w:val="center"/>
        </w:trPr>
        <w:tc>
          <w:tcPr>
            <w:tcW w:w="574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92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服务模块</w:t>
            </w:r>
          </w:p>
        </w:tc>
        <w:tc>
          <w:tcPr>
            <w:tcW w:w="1251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具体服务内容</w:t>
            </w:r>
          </w:p>
        </w:tc>
        <w:tc>
          <w:tcPr>
            <w:tcW w:w="92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服务频次</w:t>
            </w:r>
          </w:p>
        </w:tc>
        <w:tc>
          <w:tcPr>
            <w:tcW w:w="92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交付成果</w:t>
            </w:r>
          </w:p>
        </w:tc>
        <w:tc>
          <w:tcPr>
            <w:tcW w:w="1251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人员配置要求</w:t>
            </w:r>
          </w:p>
        </w:tc>
        <w:tc>
          <w:tcPr>
            <w:tcW w:w="128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单价（元）</w:t>
            </w:r>
          </w:p>
        </w:tc>
        <w:tc>
          <w:tcPr>
            <w:tcW w:w="128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  <w:lang w:val="en-US" w:eastAsia="zh-CN"/>
              </w:rPr>
              <w:t>总</w:t>
            </w: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价（元）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74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92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574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七、服务标准与商务要求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（一）量化服务标准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2620"/>
        <w:gridCol w:w="3981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039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服务指标</w:t>
            </w:r>
          </w:p>
        </w:tc>
        <w:tc>
          <w:tcPr>
            <w:tcW w:w="2620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量化要求</w:t>
            </w:r>
          </w:p>
        </w:tc>
        <w:tc>
          <w:tcPr>
            <w:tcW w:w="3981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考核方式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39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响应时效</w:t>
            </w:r>
          </w:p>
        </w:tc>
        <w:tc>
          <w:tcPr>
            <w:tcW w:w="2620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□系统记录 □签字确认 □其他：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服务质量达标率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 xml:space="preserve"> %</w:t>
            </w:r>
          </w:p>
        </w:tc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□定期抽检 □用户满意度调查 □其他：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人员到岗率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 xml:space="preserve">≥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□考勤记录 □现场检查 □其他：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特殊岗位人员资质核验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符合国家职业资格目录要求</w:t>
            </w:r>
          </w:p>
        </w:tc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□证书核查 □资质系统查询 □其他：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39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投诉响应处理时效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小时内响应， 小时内解决</w:t>
            </w:r>
          </w:p>
        </w:tc>
        <w:tc>
          <w:tcPr>
            <w:tcW w:w="3981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□投诉记录核查 □其他：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outlineLvl w:val="2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（二）商务要求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4"/>
        <w:gridCol w:w="6286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354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条款类型</w:t>
            </w:r>
          </w:p>
        </w:tc>
        <w:tc>
          <w:tcPr>
            <w:tcW w:w="6286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具体要求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54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服务地点</w:t>
            </w:r>
          </w:p>
        </w:tc>
        <w:tc>
          <w:tcPr>
            <w:tcW w:w="6286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服务期限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自 年 月 日至 年 月 日，可续约次数：____次（最多2次）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付款方式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按 □月度 □季度 □年度 结合考核结果支付，不得设置质保金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履约保证金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不得超过合同金额的10%，验收合格后及时退还。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考核机制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考核结果与付款挂钩比例： %，低于 分不予支付对应周期款项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人员稳定性要求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 xml:space="preserve">项目负责人更换须提前 天报备，年度人员更换率不得超过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%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保密要求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服务过程中接触的涉密/敏感信息不得外泄，保密期限： 年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54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知识产权约定</w:t>
            </w:r>
          </w:p>
        </w:tc>
        <w:tc>
          <w:tcPr>
            <w:tcW w:w="6286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服务过程中产生的所有成果知识产权归 □采购方所有 □双方共有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八、政府采购政策落实情况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5"/>
        <w:gridCol w:w="3436"/>
        <w:gridCol w:w="2919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285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政策类型</w:t>
            </w:r>
          </w:p>
        </w:tc>
        <w:tc>
          <w:tcPr>
            <w:tcW w:w="3436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落实情况</w:t>
            </w:r>
          </w:p>
        </w:tc>
        <w:tc>
          <w:tcPr>
            <w:tcW w:w="2919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中小企业扶持</w:t>
            </w: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□专门面向中小企业 □预留采购份额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% □价格扣除比例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% □不涉及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预留份额符合《政府采购促进中小企业发展管理办法》要求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创新服务/首版次软件扶持</w:t>
            </w: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□预留份额 □评审优惠 □不涉及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符合条件的创新服务可享受评审加分政策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85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其他政策</w:t>
            </w:r>
          </w:p>
        </w:tc>
        <w:tc>
          <w:tcPr>
            <w:tcW w:w="3436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□乡村振兴 □残疾人福利单位 □监狱企业 □其他：</w:t>
            </w:r>
          </w:p>
        </w:tc>
        <w:tc>
          <w:tcPr>
            <w:tcW w:w="2919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九、风险分析与防控措施</w:t>
      </w:r>
    </w:p>
    <w:tbl>
      <w:tblPr>
        <w:tblStyle w:val="34"/>
        <w:tblW w:w="8640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7"/>
        <w:gridCol w:w="3290"/>
        <w:gridCol w:w="2013"/>
      </w:tblGrid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337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风险类型</w:t>
            </w:r>
          </w:p>
        </w:tc>
        <w:tc>
          <w:tcPr>
            <w:tcW w:w="3290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风险等级</w:t>
            </w:r>
          </w:p>
        </w:tc>
        <w:tc>
          <w:tcPr>
            <w:tcW w:w="2013" w:type="dxa"/>
            <w:tcBorders>
              <w:top w:val="single" w:color="333333" w:sz="12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color w:val="auto"/>
                <w:sz w:val="28"/>
                <w:szCs w:val="28"/>
              </w:rPr>
              <w:t>防控措施</w:t>
            </w: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7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政策合规风险</w:t>
            </w:r>
          </w:p>
        </w:tc>
        <w:tc>
          <w:tcPr>
            <w:tcW w:w="3290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□高 □中 □低</w:t>
            </w:r>
          </w:p>
        </w:tc>
        <w:tc>
          <w:tcPr>
            <w:tcW w:w="2013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7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信息公开风险</w:t>
            </w:r>
          </w:p>
        </w:tc>
        <w:tc>
          <w:tcPr>
            <w:tcW w:w="3290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□高 □中 □低</w:t>
            </w:r>
          </w:p>
        </w:tc>
        <w:tc>
          <w:tcPr>
            <w:tcW w:w="2013" w:type="dxa"/>
            <w:tcBorders>
              <w:top w:val="single" w:color="333333" w:sz="4" w:space="0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服务质量不达标风险</w:t>
            </w: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□高 □中 □低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人员频繁变动风险</w:t>
            </w: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□高 □中 □低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37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成本上涨履约风险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  <w:t>□高 □中 □低</w:t>
            </w:r>
          </w:p>
        </w:tc>
        <w:tc>
          <w:tcPr>
            <w:tcW w:w="2013" w:type="dxa"/>
            <w:tcBorders>
              <w:top w:val="nil"/>
              <w:left w:val="nil"/>
              <w:bottom w:val="single" w:color="333333" w:sz="12" w:space="0"/>
              <w:right w:val="nil"/>
            </w:tcBorders>
            <w:noWrap w:val="0"/>
            <w:tcMar>
              <w:top w:w="18" w:type="dxa"/>
              <w:left w:w="78" w:type="dxa"/>
              <w:bottom w:w="18" w:type="dxa"/>
              <w:right w:w="7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8"/>
                <w:szCs w:val="28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60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十、调查结论与建议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（填写要求：1. 预算合理性判定结论及依据；2. 采购方式建议及依据；3. 供应商资格条件设置建议；4. 考核机制设置建议；5. 履约风险提示。不少于200字）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 xml:space="preserve">调查人签字： 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 xml:space="preserve">           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日期：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 xml:space="preserve">需求部门负责人签字： 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日期：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ＭＳ ゴシック">
    <w:altName w:val="华文中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ourier">
    <w:altName w:val="Noto Sans Mono"/>
    <w:panose1 w:val="02060409020205020404"/>
    <w:charset w:val="00"/>
    <w:family w:val="auto"/>
    <w:pitch w:val="default"/>
    <w:sig w:usb0="00000000" w:usb1="00000000" w:usb2="00000000" w:usb3="00000000" w:csb0="00000000" w:csb1="00000000"/>
  </w:font>
  <w:font w:name="Noto Sans Mono">
    <w:panose1 w:val="020B0509040504020204"/>
    <w:charset w:val="00"/>
    <w:family w:val="auto"/>
    <w:pitch w:val="default"/>
    <w:sig w:usb0="E00002FF" w:usb1="4200FCFF" w:usb2="08000039" w:usb3="00100000" w:csb0="0000019F" w:csb1="DFD70000"/>
  </w:font>
  <w:font w:name="ＭＳ 明朝">
    <w:altName w:val="方正书宋_GBK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6106D597"/>
    <w:multiLevelType w:val="singleLevel"/>
    <w:tmpl w:val="6106D597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00140BB"/>
    <w:rsid w:val="14002792"/>
    <w:rsid w:val="19CC4B26"/>
    <w:rsid w:val="228E5684"/>
    <w:rsid w:val="40ED5944"/>
    <w:rsid w:val="6F735690"/>
    <w:rsid w:val="72CD174C"/>
    <w:rsid w:val="BBEBF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微软雅黑" w:hAnsi="微软雅黑" w:eastAsia="微软雅黑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="微软雅黑" w:hAnsi="微软雅黑" w:eastAsia="微软雅黑" w:cs="微软雅黑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="微软雅黑" w:hAnsi="微软雅黑" w:eastAsia="微软雅黑" w:cs="微软雅黑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="微软雅黑" w:hAnsi="微软雅黑" w:eastAsia="微软雅黑" w:cs="微软雅黑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="微软雅黑" w:hAnsi="微软雅黑" w:eastAsia="微软雅黑" w:cs="微软雅黑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="微软雅黑" w:hAnsi="微软雅黑" w:eastAsia="微软雅黑" w:cs="微软雅黑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="微软雅黑" w:hAnsi="微软雅黑" w:eastAsia="微软雅黑" w:cs="微软雅黑"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semiHidden/>
    <w:unhideWhenUsed/>
    <w:qFormat/>
    <w:uiPriority w:val="99"/>
    <w:pPr>
      <w:jc w:val="left"/>
    </w:pPr>
  </w:style>
  <w:style w:type="paragraph" w:styleId="18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5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6"/>
    <w:qFormat/>
    <w:uiPriority w:val="99"/>
  </w:style>
  <w:style w:type="character" w:customStyle="1" w:styleId="137">
    <w:name w:val="Footer Char"/>
    <w:basedOn w:val="133"/>
    <w:link w:val="25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20"/>
    <w:qFormat/>
    <w:uiPriority w:val="99"/>
  </w:style>
  <w:style w:type="character" w:customStyle="1" w:styleId="146">
    <w:name w:val="Body Text 2 Char"/>
    <w:basedOn w:val="133"/>
    <w:link w:val="29"/>
    <w:qFormat/>
    <w:uiPriority w:val="99"/>
  </w:style>
  <w:style w:type="character" w:customStyle="1" w:styleId="147">
    <w:name w:val="Body Text 3 Char"/>
    <w:basedOn w:val="133"/>
    <w:link w:val="18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2117</Words>
  <Characters>2172</Characters>
  <Lines>0</Lines>
  <Paragraphs>0</Paragraphs>
  <TotalTime>5</TotalTime>
  <ScaleCrop>false</ScaleCrop>
  <LinksUpToDate>false</LinksUpToDate>
  <CharactersWithSpaces>2308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CCDN</cp:lastModifiedBy>
  <dcterms:modified xsi:type="dcterms:W3CDTF">2026-04-16T16:58:08Z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eyJoZGlkIjoiN2E1ODJhMTYwZmQyOGFiOWIxZmVhYmEzOTQwNjI4MTEiLCJ1c2VySWQiOiI3MjE5NjMwNjYifQ==</vt:lpwstr>
  </property>
  <property fmtid="{D5CDD505-2E9C-101B-9397-08002B2CF9AE}" pid="3" name="KSOProductBuildVer">
    <vt:lpwstr>2052-11.8.2.12313</vt:lpwstr>
  </property>
  <property fmtid="{D5CDD505-2E9C-101B-9397-08002B2CF9AE}" pid="4" name="ICV">
    <vt:lpwstr>6EE6D18E1C7C4BAC948553773DA3C404_12</vt:lpwstr>
  </property>
</Properties>
</file>