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spacing w:before="120" w:after="80"/>
        <w:outlineLvl w:val="0"/>
      </w:pPr>
      <w:r>
        <w:rPr>
          <w:rFonts w:hint="eastAsia"/>
          <w:b/>
          <w:sz w:val="48"/>
          <w:lang w:val="en-US" w:eastAsia="zh-CN"/>
        </w:rPr>
        <w:t>新疆职业大学</w:t>
      </w:r>
      <w:r>
        <w:rPr>
          <w:b/>
          <w:sz w:val="48"/>
        </w:rPr>
        <w:t>政府采购需求调查报告（工程类）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</w:tcPr>
          <w:p>
            <w:pPr>
              <w:spacing w:line="240" w:lineRule="auto"/>
            </w:pPr>
            <w:r>
              <w:rPr>
                <w:sz w:val="24"/>
              </w:rPr>
              <w:t>编制依据：《中华人民共和国政府采购法（2024修订）》、《中华人民共和国政府采购法实施条例》、《政府采购需求管理办法》（财库〔2021〕22号）、《政府采购框架协议采购方式管理暂行办法》（财政部令第110号）、财政部《关于促进政府采购公平竞争优化营商环境的通知》（财库〔2019〕38号）、新疆维吾尔自治区政府采购监管最新要求 、《新疆职业大学招标与采购管理办法》（新职大规〔2025〕2号 ）。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一、前置合规校验表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2"/>
        <w:gridCol w:w="900"/>
        <w:gridCol w:w="4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2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校验项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校验结果</w:t>
            </w:r>
          </w:p>
        </w:tc>
        <w:tc>
          <w:tcPr>
            <w:tcW w:w="4546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备注说明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2" w:type="dxa"/>
          </w:tcPr>
          <w:p>
            <w:pPr>
              <w:spacing w:line="240" w:lineRule="auto"/>
            </w:pPr>
            <w:r>
              <w:rPr>
                <w:sz w:val="24"/>
              </w:rPr>
              <w:t>是否履行立项审批程序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546" w:type="dxa"/>
          </w:tcPr>
          <w:p>
            <w:pPr>
              <w:spacing w:line="240" w:lineRule="auto"/>
            </w:pPr>
            <w:r>
              <w:rPr>
                <w:sz w:val="24"/>
              </w:rPr>
              <w:t>已取得自治区教育厅立项批复（新教发〔2026〕18号）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2" w:type="dxa"/>
          </w:tcPr>
          <w:p>
            <w:pPr>
              <w:spacing w:line="240" w:lineRule="auto"/>
            </w:pPr>
            <w:r>
              <w:rPr>
                <w:sz w:val="24"/>
              </w:rPr>
              <w:t>是否取得规划许可、施工许可（如需）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不适用</w:t>
            </w:r>
          </w:p>
        </w:tc>
        <w:tc>
          <w:tcPr>
            <w:tcW w:w="4546" w:type="dxa"/>
          </w:tcPr>
          <w:p>
            <w:pPr>
              <w:spacing w:line="240" w:lineRule="auto"/>
            </w:pPr>
            <w:r>
              <w:rPr>
                <w:sz w:val="24"/>
              </w:rPr>
              <w:t>属于既有建筑改造，无需办理新规划许可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02" w:type="dxa"/>
          </w:tcPr>
          <w:p>
            <w:pPr>
              <w:spacing w:line="240" w:lineRule="auto"/>
            </w:pPr>
            <w:r>
              <w:rPr>
                <w:sz w:val="24"/>
              </w:rPr>
              <w:t>是否落实农民工工资保证金相关要求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546" w:type="dxa"/>
          </w:tcPr>
          <w:p>
            <w:pPr>
              <w:spacing w:line="240" w:lineRule="auto"/>
            </w:pPr>
            <w:r>
              <w:rPr>
                <w:sz w:val="24"/>
              </w:rPr>
              <w:t>已明确要求中标单位缴纳农民工工资保证金或提供保函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2" w:type="dxa"/>
          </w:tcPr>
          <w:p>
            <w:pPr>
              <w:spacing w:line="240" w:lineRule="auto"/>
            </w:pPr>
            <w:r>
              <w:rPr>
                <w:sz w:val="24"/>
              </w:rPr>
              <w:t>是否符合绿色建筑/绿色建材采购政策要求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546" w:type="dxa"/>
          </w:tcPr>
          <w:p>
            <w:pPr>
              <w:spacing w:line="240" w:lineRule="auto"/>
            </w:pPr>
            <w:r>
              <w:rPr>
                <w:sz w:val="24"/>
              </w:rPr>
              <w:t>本项目属于自治区老旧建筑节能改造项目，要求绿色建材使用率≥70%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2" w:type="dxa"/>
          </w:tcPr>
          <w:p>
            <w:pPr>
              <w:spacing w:line="240" w:lineRule="auto"/>
            </w:pPr>
            <w:r>
              <w:rPr>
                <w:sz w:val="24"/>
              </w:rPr>
              <w:t>预算是否经过财政投资评审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546" w:type="dxa"/>
          </w:tcPr>
          <w:p>
            <w:pPr>
              <w:spacing w:line="240" w:lineRule="auto"/>
            </w:pPr>
            <w:r>
              <w:rPr>
                <w:sz w:val="24"/>
              </w:rPr>
              <w:t>已取得财政投资评审报告（新财评审〔2026〕32号），评审金额880万元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2" w:type="dxa"/>
            <w:vAlign w:val="center"/>
          </w:tcPr>
          <w:p>
            <w:pPr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是否达到政府采购分散采购限额标准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100万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900" w:type="dxa"/>
            <w:vAlign w:val="center"/>
          </w:tcPr>
          <w:p>
            <w:pPr>
              <w:spacing w:line="240" w:lineRule="auto"/>
              <w:rPr>
                <w:rFonts w:hint="eastAsia"/>
                <w:lang w:val="en-US" w:eastAsia="en-US"/>
              </w:rPr>
            </w:pPr>
            <w:bookmarkStart w:id="0" w:name="_GoBack"/>
            <w:bookmarkEnd w:id="0"/>
            <w:r>
              <w:rPr>
                <w:rFonts w:hint="eastAsia"/>
              </w:rPr>
              <w:sym w:font="Wingdings 2" w:char="0052"/>
            </w:r>
            <w:r>
              <w:rPr>
                <w:rFonts w:hint="eastAsia"/>
              </w:rPr>
              <w:t>是 □否</w:t>
            </w:r>
          </w:p>
        </w:tc>
        <w:tc>
          <w:tcPr>
            <w:tcW w:w="4546" w:type="dxa"/>
            <w:vAlign w:val="center"/>
          </w:tcPr>
          <w:p>
            <w:pPr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限额以下可按单位内控制度采购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2" w:type="dxa"/>
          </w:tcPr>
          <w:p>
            <w:pPr>
              <w:spacing w:line="240" w:lineRule="auto"/>
            </w:pPr>
            <w:r>
              <w:t>是否已完成采购意向公开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t>☑是</w:t>
            </w:r>
          </w:p>
        </w:tc>
        <w:tc>
          <w:tcPr>
            <w:tcW w:w="4546" w:type="dxa"/>
          </w:tcPr>
          <w:p>
            <w:pPr>
              <w:spacing w:line="240" w:lineRule="auto"/>
            </w:pPr>
            <w:r>
              <w:t>2026年3月15日已在新疆政府采购网公开，距采购启动超过30日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  <w:gridSpan w:val="3"/>
          </w:tcPr>
          <w:p>
            <w:pPr>
              <w:spacing w:line="240" w:lineRule="auto"/>
            </w:pPr>
            <w:r>
              <w:rPr>
                <w:sz w:val="24"/>
              </w:rPr>
              <w:t>校验不通过项不得进入后续采购流程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二、基本信息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项目名称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新疆职业大学3#、4#宿舍楼外墙保温改造工程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项目编码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XZD-2026-GC-003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项目预算（万元）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880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建设地点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新疆职业大学北京路校区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资金来源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财政拨款 □自筹 □其他：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建设规模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外墙保温改造面积22000㎡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计划工期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120日历天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需求部门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后勤管理处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调查负责人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刘XX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联系电话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0991-XXXXXXX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调查周期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2026年4月5日 — 2026年4月15日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</w:p>
        </w:tc>
        <w:tc>
          <w:tcPr>
            <w:tcW w:w="1987" w:type="dxa"/>
          </w:tcPr>
          <w:p>
            <w:pPr>
              <w:spacing w:line="240" w:lineRule="auto"/>
            </w:pP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三、项目背景</w:t>
      </w:r>
    </w:p>
    <w:p>
      <w:r>
        <w:rPr>
          <w:sz w:val="24"/>
        </w:rPr>
        <w:t>本项目为新疆职业大学老旧校舍节能改造重点项目，依据《自治区城乡建设领域碳达峰实施方案》《教育厅关于开展全区高校老旧校舍安全改造的通知》要求实施。我校3#、4#宿舍楼建成于2008年，原有外墙保温层已出现大面积脱落、空鼓现象，冬季室内平均温度仅16℃，远低于国家宿舍建筑室内温度≥18℃的标准，同时能耗较新建建筑高出40%，存在安全隐患和能耗过高问题。本次改造涉及22000㎡外墙保温施工及外墙粉刷，改造后可实现冬季室内温度提升3℃以上，建筑能耗降低30%，惠及在校住宿学生1200名，预期使用寿命20年，项目社会效益显著。</w:t>
      </w:r>
    </w:p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四、需求调查核心内容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（一）行业技术与标准调研</w:t>
      </w:r>
    </w:p>
    <w:p>
      <w:r>
        <w:rPr>
          <w:sz w:val="24"/>
        </w:rPr>
        <w:t>1. 当前外墙保温工程最新施工工艺为模塑聚苯板薄抹灰系统，符合《建筑节能工程施工质量验收标准》（GB50411-2019）、《外墙外保温工程技术标准》（JGJ144-2019）等国家强制标准，保温层厚度要求≥8cm，燃烧性能等级B1级以上。2. 本项目属于节能改造项目，须落实自治区绿色建材采购要求，绿色建材使用率≥70%，优先采用获得绿色建材认证的保温材料。3. 自治区住建厅要求2026年既有建筑节能改造项目全部采用阻燃型保温材料，施工过程须符合安全文明施工相关规定。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（二）市场供给情况调研</w:t>
      </w:r>
    </w:p>
    <w:p>
      <w:r>
        <w:rPr>
          <w:sz w:val="24"/>
        </w:rPr>
        <w:t>1. 乌鲁木齐市具备建筑工程施工总承包三级及以上资质的企业共28家，本地企业市场占有率达85%，市场竞争格局为充分竞争，无垄断情形。2. 近2年本地同类外墙保温改造项目下浮率区间为8%-12%，施工周期普遍为90-150日历天。3. 参与调研的3家施工企业均具备5项以上同类改造项目施工经验，本地化服务能力充足，可满足项目施工需求。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（三）同类项目历史数据分析</w:t>
      </w:r>
    </w:p>
    <w:p>
      <w:r>
        <w:rPr>
          <w:sz w:val="24"/>
        </w:rPr>
        <w:t>1. 本地区近3年同类外墙保温改造项目成交单价区间为380-420元/㎡，下浮率8%-12%，主要材料价格占比约65%，与本次预算单价400元/㎡基本匹配。2. 同类项目常见质量问题为保温层粘结不牢、墙面开裂，工期延误主要原因是极端天气影响，平均变更签证比例≤5%。3. 审计常见问题为工程量虚报、建材以次充好，近3年同类项目共发生2起因质量问题导致的投诉，均已通过整改解决。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（四）全生命周期成本分析</w:t>
      </w:r>
    </w:p>
    <w:p>
      <w:r>
        <w:rPr>
          <w:sz w:val="24"/>
        </w:rPr>
        <w:t>1. 施工阶段建材价格波动风险约5%，主要是苯板、砂浆价格受原材料价格影响存在波动可能。2. 质保期内运维责任由施工单位全额承担，质保期外年运维成本约2万元，主要为墙面修补、维护费用。3. 工程设计使用年限20年，到期后拆除改造成本约15万元。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（五）采购参数歧视性自检清单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5"/>
        <w:gridCol w:w="1085"/>
        <w:gridCol w:w="32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5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自检项</w:t>
            </w:r>
          </w:p>
        </w:tc>
        <w:tc>
          <w:tcPr>
            <w:tcW w:w="1085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自检结果</w:t>
            </w:r>
          </w:p>
        </w:tc>
        <w:tc>
          <w:tcPr>
            <w:tcW w:w="3258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佐证说明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5" w:type="dxa"/>
          </w:tcPr>
          <w:p>
            <w:pPr>
              <w:spacing w:line="240" w:lineRule="auto"/>
            </w:pPr>
            <w:r>
              <w:rPr>
                <w:sz w:val="24"/>
              </w:rPr>
              <w:t>是否设置高于项目实际需求的资质等级要求</w:t>
            </w:r>
          </w:p>
        </w:tc>
        <w:tc>
          <w:tcPr>
            <w:tcW w:w="1085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3258" w:type="dxa"/>
          </w:tcPr>
          <w:p>
            <w:pPr>
              <w:spacing w:line="240" w:lineRule="auto"/>
            </w:pPr>
            <w:r>
              <w:rPr>
                <w:sz w:val="24"/>
              </w:rPr>
              <w:t>仅要求建筑工程施工总承包三级及以上资质，符合项目规模要求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5" w:type="dxa"/>
          </w:tcPr>
          <w:p>
            <w:pPr>
              <w:spacing w:line="240" w:lineRule="auto"/>
            </w:pPr>
            <w:r>
              <w:rPr>
                <w:sz w:val="24"/>
              </w:rPr>
              <w:t>是否设置与工程无关的业绩、规模门槛</w:t>
            </w:r>
          </w:p>
        </w:tc>
        <w:tc>
          <w:tcPr>
            <w:tcW w:w="1085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3258" w:type="dxa"/>
          </w:tcPr>
          <w:p>
            <w:pPr>
              <w:spacing w:line="240" w:lineRule="auto"/>
            </w:pPr>
            <w:r>
              <w:rPr>
                <w:sz w:val="24"/>
              </w:rPr>
              <w:t>仅要求具备同类项目施工经验，无额外业绩门槛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605" w:type="dxa"/>
          </w:tcPr>
          <w:p>
            <w:pPr>
              <w:spacing w:line="240" w:lineRule="auto"/>
            </w:pPr>
            <w:r>
              <w:rPr>
                <w:sz w:val="24"/>
              </w:rPr>
              <w:t>是否指定建材品牌、供应商</w:t>
            </w:r>
          </w:p>
        </w:tc>
        <w:tc>
          <w:tcPr>
            <w:tcW w:w="1085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3258" w:type="dxa"/>
          </w:tcPr>
          <w:p>
            <w:pPr>
              <w:spacing w:line="240" w:lineRule="auto"/>
            </w:pPr>
            <w:r>
              <w:rPr>
                <w:sz w:val="24"/>
              </w:rPr>
              <w:t>仅要求建材符合质量标准，未指定品牌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5" w:type="dxa"/>
          </w:tcPr>
          <w:p>
            <w:pPr>
              <w:spacing w:line="240" w:lineRule="auto"/>
            </w:pPr>
            <w:r>
              <w:rPr>
                <w:sz w:val="24"/>
              </w:rPr>
              <w:t>是否设置注册资本、资产总额、营业收入、从业人员等不合理规模条件</w:t>
            </w:r>
          </w:p>
        </w:tc>
        <w:tc>
          <w:tcPr>
            <w:tcW w:w="1085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3258" w:type="dxa"/>
          </w:tcPr>
          <w:p>
            <w:pPr>
              <w:spacing w:line="240" w:lineRule="auto"/>
            </w:pPr>
            <w:r>
              <w:rPr>
                <w:sz w:val="24"/>
              </w:rPr>
              <w:t>未设置任何规模性门槛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5" w:type="dxa"/>
          </w:tcPr>
          <w:p>
            <w:pPr>
              <w:spacing w:line="240" w:lineRule="auto"/>
            </w:pPr>
            <w:r>
              <w:rPr>
                <w:sz w:val="24"/>
              </w:rPr>
              <w:t>是否限定特定行政区域的业绩或奖项</w:t>
            </w:r>
          </w:p>
        </w:tc>
        <w:tc>
          <w:tcPr>
            <w:tcW w:w="1085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3258" w:type="dxa"/>
          </w:tcPr>
          <w:p>
            <w:pPr>
              <w:spacing w:line="240" w:lineRule="auto"/>
            </w:pPr>
            <w:r>
              <w:rPr>
                <w:sz w:val="24"/>
              </w:rPr>
              <w:t>未设置地域限制条款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5" w:type="dxa"/>
          </w:tcPr>
          <w:p>
            <w:pPr>
              <w:spacing w:line="240" w:lineRule="auto"/>
            </w:pPr>
            <w:r>
              <w:rPr>
                <w:sz w:val="24"/>
              </w:rPr>
              <w:t>是否存在排斥中小微企业的不合理要求</w:t>
            </w:r>
          </w:p>
        </w:tc>
        <w:tc>
          <w:tcPr>
            <w:tcW w:w="1085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3258" w:type="dxa"/>
          </w:tcPr>
          <w:p>
            <w:pPr>
              <w:spacing w:line="240" w:lineRule="auto"/>
            </w:pPr>
            <w:r>
              <w:rPr>
                <w:sz w:val="24"/>
              </w:rPr>
              <w:t>项目整体专门面向中小企业采购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948" w:type="dxa"/>
            <w:gridSpan w:val="3"/>
          </w:tcPr>
          <w:p>
            <w:pPr>
              <w:spacing w:line="240" w:lineRule="auto"/>
            </w:pPr>
            <w:r>
              <w:rPr>
                <w:sz w:val="24"/>
              </w:rPr>
              <w:t>存在“是”选项的须立即调整需求参数，否则不得进入采购流程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五、调查方式与对象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9"/>
        <w:gridCol w:w="53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</w:tcPr>
          <w:p>
            <w:pPr>
              <w:spacing w:line="240" w:lineRule="auto"/>
            </w:pPr>
            <w:r>
              <w:rPr>
                <w:sz w:val="24"/>
              </w:rPr>
              <w:t>调查方式</w:t>
            </w:r>
          </w:p>
        </w:tc>
        <w:tc>
          <w:tcPr>
            <w:tcW w:w="538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专家咨询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市场走访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历史数据查询 □公开论证 □问卷调查 □其他：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</w:tcPr>
          <w:p>
            <w:pPr>
              <w:spacing w:line="240" w:lineRule="auto"/>
            </w:pPr>
            <w:r>
              <w:rPr>
                <w:sz w:val="24"/>
              </w:rPr>
              <w:t>调查对象</w:t>
            </w:r>
          </w:p>
        </w:tc>
        <w:tc>
          <w:tcPr>
            <w:tcW w:w="5389" w:type="dxa"/>
          </w:tcPr>
          <w:p>
            <w:pPr>
              <w:spacing w:line="240" w:lineRule="auto"/>
            </w:pPr>
            <w:r>
              <w:rPr>
                <w:sz w:val="24"/>
              </w:rPr>
              <w:t>1. 单位名称：新疆XX建筑工程有限公司 联系人：张XX 联系电话：13XXXXXXXXX</w:t>
            </w:r>
            <w:r>
              <w:br w:type="textWrapping"/>
            </w:r>
            <w:r>
              <w:rPr>
                <w:sz w:val="24"/>
              </w:rPr>
              <w:t>2. 单位名称：乌鲁木齐XX建设工程有限公司 联系人：李XX 联系电话：13XXXXXXXXX</w:t>
            </w:r>
            <w:r>
              <w:br w:type="textWrapping"/>
            </w:r>
            <w:r>
              <w:rPr>
                <w:sz w:val="24"/>
              </w:rPr>
              <w:t>3. 单位名称：新疆XX节能科技有限公司 联系人：王XX 联系电话：13XXXXXXXXX</w:t>
            </w:r>
            <w:r>
              <w:br w:type="textWrapping"/>
            </w:r>
            <w:r>
              <w:rPr>
                <w:sz w:val="24"/>
              </w:rPr>
              <w:t>4. 专家姓名：陈XX 所属领域：建筑工程 职称：高级工程师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  <w:gridSpan w:val="2"/>
          </w:tcPr>
          <w:p>
            <w:pPr>
              <w:spacing w:line="240" w:lineRule="auto"/>
            </w:pPr>
            <w:r>
              <w:rPr>
                <w:sz w:val="24"/>
              </w:rPr>
              <w:t>调查对象不得少于3家具备对应资质的施工企业，邀请专家不得与供应商存在利害关系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六、工程概况与技术要求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66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项目</w:t>
            </w:r>
          </w:p>
        </w:tc>
        <w:tc>
          <w:tcPr>
            <w:tcW w:w="6624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具体要求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主要建设内容</w:t>
            </w:r>
          </w:p>
        </w:tc>
        <w:tc>
          <w:tcPr>
            <w:tcW w:w="6624" w:type="dxa"/>
          </w:tcPr>
          <w:p>
            <w:pPr>
              <w:spacing w:line="240" w:lineRule="auto"/>
            </w:pPr>
            <w:r>
              <w:rPr>
                <w:sz w:val="24"/>
              </w:rPr>
              <w:t>22000㎡外墙保温改造，包括原有保温层拆除、新保温层安装、外墙粉刷、落水管更换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质量要求</w:t>
            </w:r>
          </w:p>
        </w:tc>
        <w:tc>
          <w:tcPr>
            <w:tcW w:w="662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合格 □优良，符合标准编号：GB50411-2019、JGJ144-2019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安全文明施工要求</w:t>
            </w:r>
          </w:p>
        </w:tc>
        <w:tc>
          <w:tcPr>
            <w:tcW w:w="6624" w:type="dxa"/>
          </w:tcPr>
          <w:p>
            <w:pPr>
              <w:spacing w:line="240" w:lineRule="auto"/>
            </w:pPr>
            <w:r>
              <w:rPr>
                <w:sz w:val="24"/>
              </w:rPr>
              <w:t>施工区域设置封闭围挡，避免影响学生正常生活，噪声排放符合施工时段要求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绿色施工要求</w:t>
            </w:r>
          </w:p>
        </w:tc>
        <w:tc>
          <w:tcPr>
            <w:tcW w:w="662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满足绿色建筑等级基本级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绿色建材使用率 ≥ 70 %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验收标准</w:t>
            </w:r>
          </w:p>
        </w:tc>
        <w:tc>
          <w:tcPr>
            <w:tcW w:w="6624" w:type="dxa"/>
          </w:tcPr>
          <w:p>
            <w:pPr>
              <w:spacing w:line="240" w:lineRule="auto"/>
            </w:pPr>
            <w:r>
              <w:rPr>
                <w:sz w:val="24"/>
              </w:rPr>
              <w:t>符合《建筑工程施工质量验收统一标准》（GB50300）及相关规范要求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七、主要材料清单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3"/>
        <w:gridCol w:w="993"/>
        <w:gridCol w:w="993"/>
        <w:gridCol w:w="993"/>
        <w:gridCol w:w="993"/>
        <w:gridCol w:w="993"/>
        <w:gridCol w:w="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材料名称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规格型号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质量等级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环保要求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是否为绿色建材</w:t>
            </w:r>
          </w:p>
        </w:tc>
        <w:tc>
          <w:tcPr>
            <w:tcW w:w="997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预算单价（元）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模塑聚苯板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8cm厚 B1级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22000㎡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合格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符合环保要求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 □否</w:t>
            </w:r>
          </w:p>
        </w:tc>
        <w:tc>
          <w:tcPr>
            <w:tcW w:w="997" w:type="dxa"/>
          </w:tcPr>
          <w:p>
            <w:pPr>
              <w:spacing w:line="240" w:lineRule="auto"/>
            </w:pPr>
            <w:r>
              <w:rPr>
                <w:sz w:val="24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粘结砂浆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普通型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150吨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合格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符合环保要求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 □否</w:t>
            </w:r>
          </w:p>
        </w:tc>
        <w:tc>
          <w:tcPr>
            <w:tcW w:w="997" w:type="dxa"/>
          </w:tcPr>
          <w:p>
            <w:pPr>
              <w:spacing w:line="240" w:lineRule="auto"/>
            </w:pPr>
            <w:r>
              <w:rPr>
                <w:sz w:val="24"/>
              </w:rPr>
              <w:t>1200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八、商务要求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9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条款类型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具体要求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工期要求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120日历天，计划开工日期：2026年6月1日，计划竣工日期：2026年9月30日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付款方式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按工程进度付款，验收合格后支付至合同价的97%，质保金比例3%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质保期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屋面防水/外墙防渗漏：5年，其他工程：2年，自竣工验收合格之日起计算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变更管理要求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变更签证须经建设方、监理方、施工方三方签字确认，单次变更金额超过5万元须履行学校内控审批程序。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保险要求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须购买建筑工程一切险、第三者责任险、施工人员意外伤害险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违约责任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工期延误每日赔付比例不超过合同价的0.1%，累计不超过合同价的10%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九、政府采购政策落实情况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4094"/>
        <w:gridCol w:w="25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政策类型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落实情况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中小企业扶持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专门面向中小企业 □预留采购份额 % □价格扣除比例 % □不涉及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sz w:val="24"/>
              </w:rPr>
              <w:t>项目整体专门面向中小企业采购，符合政策要求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绿色建筑/绿色建材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强制采购绿色建材 □优先采购绿色建材 □不涉及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sz w:val="24"/>
              </w:rPr>
              <w:t>要求绿色建材使用率≥70%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首台套/首批次产品扶持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不涉及 □预留份额 □评审优惠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sz w:val="24"/>
              </w:rPr>
              <w:t>无相关需求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其他政策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sz w:val="24"/>
              </w:rPr>
              <w:t>□乡村振兴 □残疾人福利单位 □监狱企业 □其他：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十、风险分析与防控措施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478"/>
        <w:gridCol w:w="49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风险类型</w:t>
            </w:r>
          </w:p>
        </w:tc>
        <w:tc>
          <w:tcPr>
            <w:tcW w:w="1478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风险等级</w:t>
            </w:r>
          </w:p>
        </w:tc>
        <w:tc>
          <w:tcPr>
            <w:tcW w:w="4992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防控措施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>政策合规风险</w:t>
            </w:r>
          </w:p>
        </w:tc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4992" w:type="dxa"/>
          </w:tcPr>
          <w:p>
            <w:pPr>
              <w:spacing w:line="240" w:lineRule="auto"/>
            </w:pPr>
            <w:r>
              <w:rPr>
                <w:sz w:val="24"/>
              </w:rPr>
              <w:t>已完成所有前置审批，参数设置符合节能改造政策要求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>信息公开风险</w:t>
            </w:r>
          </w:p>
        </w:tc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4992" w:type="dxa"/>
          </w:tcPr>
          <w:p>
            <w:pPr>
              <w:spacing w:line="240" w:lineRule="auto"/>
            </w:pPr>
            <w:r>
              <w:rPr>
                <w:sz w:val="24"/>
              </w:rPr>
              <w:t>采购意向已公开，后续公告严格按要求发布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>建材价格波动风险</w:t>
            </w:r>
          </w:p>
        </w:tc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4992" w:type="dxa"/>
          </w:tcPr>
          <w:p>
            <w:pPr>
              <w:spacing w:line="240" w:lineRule="auto"/>
            </w:pPr>
            <w:r>
              <w:rPr>
                <w:sz w:val="24"/>
              </w:rPr>
              <w:t>设置价格调整机制，当建材价格波动超过5%时可按实调整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>工期延误风险</w:t>
            </w:r>
          </w:p>
        </w:tc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4992" w:type="dxa"/>
          </w:tcPr>
          <w:p>
            <w:pPr>
              <w:spacing w:line="240" w:lineRule="auto"/>
            </w:pPr>
            <w:r>
              <w:rPr>
                <w:sz w:val="24"/>
              </w:rPr>
              <w:t>合理安排施工时段，预留10天缓冲期，设置逾期赔付条款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>质量安全风险</w:t>
            </w:r>
          </w:p>
        </w:tc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4992" w:type="dxa"/>
          </w:tcPr>
          <w:p>
            <w:pPr>
              <w:spacing w:line="240" w:lineRule="auto"/>
            </w:pPr>
            <w:r>
              <w:rPr>
                <w:sz w:val="24"/>
              </w:rPr>
              <w:t>聘请第三方监理单位旁站监督，保温层粘结强度按批次检测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>变更超预算风险</w:t>
            </w:r>
          </w:p>
        </w:tc>
        <w:tc>
          <w:tcPr>
            <w:tcW w:w="1478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4992" w:type="dxa"/>
          </w:tcPr>
          <w:p>
            <w:pPr>
              <w:spacing w:line="240" w:lineRule="auto"/>
            </w:pPr>
            <w:r>
              <w:rPr>
                <w:sz w:val="24"/>
              </w:rPr>
              <w:t>严格执行变更审批流程，变更金额累计不得超过预算的10%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十一、调查结论与建议</w:t>
      </w:r>
    </w:p>
    <w:p>
      <w:r>
        <w:rPr>
          <w:sz w:val="24"/>
        </w:rPr>
        <w:t>1. 预算合理性判定：本次预算单价400元/㎡，与本地区近3年同类项目成交价格区间匹配，总预算880万元经过财政投资评审，合理合规。2. 采购方式建议：建议采用公开招标方式，项目预算超过分散采购限额标准，公开招标可充分选择优质施工单位。3. 施工企业资质等级设置建议：要求具备建筑工程施工总承包三级及以上资质，具备类似外墙保温改造项目经验即可，不得设置额外门槛。4. 评审因素设置建议：价格权重35%，施工方案权重35%，项目班子配置权重15%，政策落实权重15%，所有评审因素量化可评分。5. 履约风险提示：重点做好保温材料进场检测和粘结强度抽检，避免出现以次充好问题，严格管控变更签证，防止超预算。</w:t>
      </w:r>
    </w:p>
    <w:p>
      <w:r>
        <w:rPr>
          <w:sz w:val="24"/>
        </w:rPr>
        <w:t>调查人签字：刘XX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>张**、李**</w:t>
      </w:r>
      <w:r>
        <w:rPr>
          <w:sz w:val="24"/>
        </w:rPr>
        <w:t xml:space="preserve"> 日期：2026年4月15日</w:t>
      </w:r>
    </w:p>
    <w:p>
      <w:r>
        <w:rPr>
          <w:sz w:val="24"/>
        </w:rPr>
        <w:t>需求部门负责人签字：赵XX 日期：2026年4月15日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明朝">
    <w:altName w:val="华文中宋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华文中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Noto Sans Mono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  <w:font w:name="Segoe UI Emoji">
    <w:altName w:val="Noto Sans"/>
    <w:panose1 w:val="020B0502040204020203"/>
    <w:charset w:val="00"/>
    <w:family w:val="auto"/>
    <w:pitch w:val="default"/>
    <w:sig w:usb0="00000000" w:usb1="00000000" w:usb2="0800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ＭＳ 明朝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9D97DF1"/>
    <w:rsid w:val="5FF79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 w:cs="微软雅黑"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'1.0' standalone='yes'?>
<b:Sources xmlns:b="http://schemas.openxmlformats.org/officeDocument/2006/bibliography" SelectedStyle="/APA.XSL" StyleName="APA" xmlns:b="http://schemas.openxmlformats.org/officeDocument/2006/bibliography"/>
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3307</Words>
  <Characters>3616</Characters>
  <Lines>0</Lines>
  <Paragraphs>0</Paragraphs>
  <TotalTime>0</TotalTime>
  <ScaleCrop>false</ScaleCrop>
  <LinksUpToDate>false</LinksUpToDate>
  <CharactersWithSpaces>3692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CCDN</cp:lastModifiedBy>
  <dcterms:modified xsi:type="dcterms:W3CDTF">2026-04-16T16:59:47Z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eyJoZGlkIjoiN2E1ODJhMTYwZmQyOGFiOWIxZmVhYmEzOTQwNjI4MTEiLCJ1c2VySWQiOiI3MjE5NjMwNjYifQ==</vt:lpwstr>
  </property>
  <property fmtid="{D5CDD505-2E9C-101B-9397-08002B2CF9AE}" pid="3" name="KSOProductBuildVer">
    <vt:lpwstr>2052-11.8.2.12313</vt:lpwstr>
  </property>
  <property fmtid="{D5CDD505-2E9C-101B-9397-08002B2CF9AE}" pid="4" name="ICV">
    <vt:lpwstr>57C0818632F24516881AB4E9A1CFFE1B_12</vt:lpwstr>
  </property>
</Properties>
</file>