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color w:val="FF0000"/>
          <w:sz w:val="72"/>
          <w:szCs w:val="72"/>
        </w:rPr>
      </w:pPr>
    </w:p>
    <w:p>
      <w:pPr>
        <w:spacing w:afterLines="50"/>
        <w:rPr>
          <w:rFonts w:hint="default" w:ascii="Times New Roman" w:hAnsi="Times New Roman" w:cs="Times New Roman"/>
          <w:color w:val="FF0000"/>
          <w:sz w:val="72"/>
          <w:szCs w:val="72"/>
        </w:rPr>
      </w:pPr>
    </w:p>
    <w:p>
      <w:pPr>
        <w:spacing w:line="1600" w:lineRule="exact"/>
        <w:jc w:val="center"/>
        <w:rPr>
          <w:rFonts w:hint="default" w:ascii="Times New Roman" w:hAnsi="Times New Roman" w:eastAsia="方正小标宋简体" w:cs="Times New Roman"/>
          <w:b/>
          <w:color w:val="FF0000"/>
          <w:spacing w:val="40"/>
          <w:w w:val="65"/>
          <w:sz w:val="110"/>
          <w:szCs w:val="110"/>
        </w:rPr>
      </w:pPr>
      <w:r>
        <w:rPr>
          <w:rFonts w:hint="default" w:ascii="Times New Roman" w:hAnsi="Times New Roman" w:eastAsia="方正小标宋简体" w:cs="Times New Roman"/>
          <w:b/>
          <w:color w:val="FF0000"/>
          <w:spacing w:val="40"/>
          <w:w w:val="65"/>
          <w:sz w:val="110"/>
          <w:szCs w:val="110"/>
        </w:rPr>
        <w:t>中</w:t>
      </w:r>
      <w:r>
        <w:rPr>
          <w:rFonts w:hint="default" w:ascii="Times New Roman" w:hAnsi="Times New Roman" w:eastAsia="方正小标宋简体" w:cs="Times New Roman"/>
          <w:b/>
          <w:color w:val="FF0000"/>
          <w:spacing w:val="40"/>
          <w:w w:val="65"/>
          <w:sz w:val="110"/>
          <w:szCs w:val="110"/>
          <w:lang w:eastAsia="zh-CN"/>
        </w:rPr>
        <w:t>共</w:t>
      </w:r>
      <w:r>
        <w:rPr>
          <w:rFonts w:hint="default" w:ascii="Times New Roman" w:hAnsi="Times New Roman" w:eastAsia="方正小标宋简体" w:cs="Times New Roman"/>
          <w:b/>
          <w:color w:val="FF0000"/>
          <w:spacing w:val="40"/>
          <w:w w:val="65"/>
          <w:sz w:val="110"/>
          <w:szCs w:val="110"/>
        </w:rPr>
        <w:t>新疆职业大学委员会</w:t>
      </w:r>
    </w:p>
    <w:p>
      <w:pPr>
        <w:spacing w:line="1600" w:lineRule="exact"/>
        <w:jc w:val="center"/>
        <w:rPr>
          <w:rFonts w:hint="default" w:ascii="Times New Roman" w:hAnsi="Times New Roman" w:eastAsia="方正小标宋简体" w:cs="Times New Roman"/>
          <w:b/>
          <w:color w:val="FF0000"/>
          <w:spacing w:val="40"/>
          <w:w w:val="100"/>
          <w:sz w:val="110"/>
          <w:szCs w:val="110"/>
        </w:rPr>
      </w:pPr>
      <w:r>
        <w:rPr>
          <w:rFonts w:hint="default" w:ascii="Times New Roman" w:hAnsi="Times New Roman" w:eastAsia="方正小标宋简体" w:cs="Times New Roman"/>
          <w:b/>
          <w:color w:val="FF0000"/>
          <w:spacing w:val="0"/>
          <w:w w:val="65"/>
          <w:sz w:val="110"/>
          <w:szCs w:val="110"/>
          <w:lang w:eastAsia="zh-CN"/>
        </w:rPr>
        <w:t>办</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公</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室</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文</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件</w:t>
      </w:r>
    </w:p>
    <w:p>
      <w:pPr>
        <w:spacing w:beforeLines="100"/>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新职大党</w:t>
      </w:r>
      <w:r>
        <w:rPr>
          <w:rFonts w:hint="default" w:ascii="Times New Roman" w:hAnsi="Times New Roman" w:eastAsia="仿宋_GB2312" w:cs="Times New Roman"/>
          <w:color w:val="000000"/>
          <w:sz w:val="32"/>
          <w:szCs w:val="32"/>
          <w:lang w:eastAsia="zh-CN"/>
        </w:rPr>
        <w:t>办</w:t>
      </w:r>
      <w:r>
        <w:rPr>
          <w:rFonts w:hint="eastAsia" w:eastAsia="仿宋_GB2312" w:cs="Times New Roman"/>
          <w:color w:val="000000"/>
          <w:sz w:val="32"/>
          <w:szCs w:val="32"/>
          <w:lang w:eastAsia="zh-CN"/>
        </w:rPr>
        <w:t>发</w:t>
      </w:r>
      <w:r>
        <w:rPr>
          <w:rFonts w:hint="default" w:ascii="Times New Roman" w:hAnsi="Times New Roman" w:eastAsia="仿宋_GB2312" w:cs="Times New Roman"/>
          <w:color w:val="000000"/>
          <w:sz w:val="32"/>
          <w:szCs w:val="32"/>
        </w:rPr>
        <w:t>字〔20</w:t>
      </w:r>
      <w:r>
        <w:rPr>
          <w:rFonts w:hint="default" w:ascii="Times New Roman" w:hAnsi="Times New Roman" w:eastAsia="仿宋_GB2312" w:cs="Times New Roman"/>
          <w:color w:val="000000"/>
          <w:sz w:val="32"/>
          <w:szCs w:val="32"/>
          <w:lang w:val="en-US" w:eastAsia="zh-CN"/>
        </w:rPr>
        <w:t>2</w:t>
      </w:r>
      <w:r>
        <w:rPr>
          <w:rFonts w:hint="eastAsia"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w:t>
      </w:r>
      <w:r>
        <w:rPr>
          <w:rFonts w:hint="eastAsia" w:eastAsia="仿宋_GB2312" w:cs="Times New Roman"/>
          <w:color w:val="000000"/>
          <w:sz w:val="32"/>
          <w:szCs w:val="32"/>
          <w:lang w:val="en-US" w:eastAsia="zh-CN"/>
        </w:rPr>
        <w:t>12</w:t>
      </w:r>
      <w:r>
        <w:rPr>
          <w:rFonts w:hint="default" w:ascii="Times New Roman" w:hAnsi="Times New Roman" w:eastAsia="仿宋_GB2312" w:cs="Times New Roman"/>
          <w:color w:val="000000"/>
          <w:sz w:val="32"/>
          <w:szCs w:val="32"/>
        </w:rPr>
        <w:t>号</w:t>
      </w:r>
    </w:p>
    <w:p>
      <w:pPr>
        <w:jc w:val="center"/>
        <w:rPr>
          <w:rFonts w:hint="default" w:ascii="Times New Roman" w:hAnsi="Times New Roman" w:cs="Times New Roman"/>
          <w:b/>
          <w:color w:val="FF0000"/>
          <w:sz w:val="48"/>
          <w:szCs w:val="48"/>
        </w:rPr>
      </w:pPr>
      <w:r>
        <w:rPr>
          <w:rFonts w:hint="default" w:ascii="Times New Roman" w:hAnsi="Times New Roman" w:cs="Times New Roman"/>
          <w:sz w:val="32"/>
        </w:rPr>
        <w:pict>
          <v:line id="直接连接符 3" o:spid="_x0000_s1030" o:spt="20" style="position:absolute;left:0pt;flip:y;margin-left:237.9pt;margin-top:16.8pt;height:0.25pt;width:200.45pt;z-index:251662336;mso-width-relative:page;mso-height-relative:page;" filled="f" stroked="t" coordsize="21600,21600" o:gfxdata="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yHI8DaAAAACQEAAA8AAAAAAAAAAQAgAAAAIgAA&#10;AGRycy9kb3ducmV2LnhtbFBLAQIUABQAAAAIAIdO4kBkpt0pBgIAAAAEAAAOAAAAAAAAAAEAIAAA&#10;ACkBAABkcnMvZTJvRG9jLnhtbFBLBQYAAAAABgAGAFkBAAChBQAAAAA=&#10;">
            <v:path arrowok="t"/>
            <v:fill on="f" focussize="0,0"/>
            <v:stroke weight="3pt" color="#FF0000" joinstyle="round"/>
            <v:imagedata o:title=""/>
            <o:lock v:ext="edit" aspectratio="f"/>
          </v:line>
        </w:pict>
      </w:r>
      <w:r>
        <w:rPr>
          <w:rFonts w:hint="default" w:ascii="Times New Roman" w:hAnsi="Times New Roman" w:cs="Times New Roman"/>
          <w:sz w:val="32"/>
        </w:rPr>
        <w:pict>
          <v:line id="直接连接符 4" o:spid="_x0000_s1031" o:spt="20" style="position:absolute;left:0pt;flip:y;margin-left:2.4pt;margin-top:16.1pt;height:0.25pt;width:200.45pt;z-index:251661312;mso-width-relative:page;mso-height-relative:page;" filled="f" stroked="t" coordsize="21600,21600" o:gfxdata="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GoWKNYAAAAHAQAADwAAAAAAAAABACAAAAAiAAAAZHJz&#10;L2Rvd25yZXYueG1sUEsBAhQAFAAAAAgAh07iQFVl1/EGAgAAAAQAAA4AAAAAAAAAAQAgAAAAJQEA&#10;AGRycy9lMm9Eb2MueG1sUEsFBgAAAAAGAAYAWQEAAJ0FAAAAAA==&#10;">
            <v:path arrowok="t"/>
            <v:fill on="f" focussize="0,0"/>
            <v:stroke weight="3pt" color="#FF0000" joinstyle="round"/>
            <v:imagedata o:title=""/>
            <o:lock v:ext="edit" aspectratio="f"/>
          </v:line>
        </w:pict>
      </w:r>
      <w:r>
        <w:rPr>
          <w:rFonts w:hint="default" w:ascii="Times New Roman" w:hAnsi="Times New Roman" w:cs="Times New Roman"/>
          <w:b/>
          <w:color w:val="FF0000"/>
          <w:sz w:val="48"/>
          <w:szCs w:val="48"/>
        </w:rPr>
        <w:t>★</w:t>
      </w:r>
    </w:p>
    <w:p>
      <w:pPr>
        <w:keepNext w:val="0"/>
        <w:keepLines w:val="0"/>
        <w:pageBreakBefore w:val="0"/>
        <w:widowControl w:val="0"/>
        <w:kinsoku/>
        <w:wordWrap/>
        <w:overflowPunct/>
        <w:topLinePunct w:val="0"/>
        <w:autoSpaceDE/>
        <w:autoSpaceDN/>
        <w:bidi w:val="0"/>
        <w:adjustRightInd/>
        <w:snapToGrid/>
        <w:spacing w:afterAutospacing="0" w:line="300" w:lineRule="exact"/>
        <w:ind w:right="0"/>
        <w:jc w:val="both"/>
        <w:textAlignment w:val="auto"/>
        <w:outlineLvl w:val="9"/>
        <w:rPr>
          <w:rFonts w:hint="eastAsia" w:ascii="方正小标宋_GBK" w:hAnsi="方正小标宋_GBK" w:eastAsia="方正小标宋_GBK" w:cs="方正小标宋_GBK"/>
          <w:sz w:val="44"/>
          <w:szCs w:val="44"/>
        </w:rPr>
      </w:pPr>
    </w:p>
    <w:p>
      <w:pPr>
        <w:spacing w:line="600" w:lineRule="exact"/>
        <w:jc w:val="center"/>
        <w:rPr>
          <w:rFonts w:ascii="Times New Roman" w:hAnsi="Times New Roman" w:eastAsia="方正小标宋简体"/>
          <w:sz w:val="44"/>
          <w:szCs w:val="44"/>
        </w:rPr>
      </w:pPr>
      <w:r>
        <w:rPr>
          <w:rFonts w:hint="eastAsia" w:ascii="方正小标宋_GBK" w:hAnsi="方正小标宋_GBK" w:eastAsia="方正小标宋_GBK" w:cs="方正小标宋_GBK"/>
          <w:bCs/>
          <w:spacing w:val="0"/>
          <w:w w:val="96"/>
          <w:sz w:val="44"/>
          <w:szCs w:val="44"/>
          <w:lang w:eastAsia="zh-CN"/>
        </w:rPr>
        <w:t>关于印发《</w:t>
      </w:r>
      <w:r>
        <w:rPr>
          <w:rFonts w:ascii="Times New Roman" w:hAnsi="Times New Roman" w:eastAsia="方正小标宋简体"/>
          <w:sz w:val="44"/>
          <w:szCs w:val="44"/>
        </w:rPr>
        <w:t>新疆</w:t>
      </w:r>
      <w:r>
        <w:rPr>
          <w:rFonts w:hint="eastAsia" w:ascii="Times New Roman" w:hAnsi="Times New Roman" w:eastAsia="方正小标宋简体"/>
          <w:sz w:val="44"/>
          <w:szCs w:val="44"/>
        </w:rPr>
        <w:t>职业</w:t>
      </w:r>
      <w:r>
        <w:rPr>
          <w:rFonts w:ascii="Times New Roman" w:hAnsi="Times New Roman" w:eastAsia="方正小标宋简体"/>
          <w:sz w:val="44"/>
          <w:szCs w:val="44"/>
        </w:rPr>
        <w:t>大学</w:t>
      </w:r>
      <w:r>
        <w:rPr>
          <w:rFonts w:hint="eastAsia" w:ascii="Times New Roman" w:hAnsi="Times New Roman" w:eastAsia="方正小标宋简体"/>
          <w:sz w:val="44"/>
          <w:szCs w:val="44"/>
        </w:rPr>
        <w:t>基层党组织</w:t>
      </w:r>
      <w:r>
        <w:rPr>
          <w:rFonts w:ascii="Times New Roman" w:hAnsi="Times New Roman" w:eastAsia="方正小标宋简体"/>
          <w:sz w:val="44"/>
          <w:szCs w:val="44"/>
        </w:rPr>
        <w:t>运用</w:t>
      </w:r>
    </w:p>
    <w:p>
      <w:pPr>
        <w:spacing w:line="600" w:lineRule="exact"/>
        <w:jc w:val="center"/>
        <w:rPr>
          <w:rFonts w:hint="eastAsia" w:ascii="方正小标宋_GBK" w:hAnsi="方正小标宋_GBK" w:eastAsia="方正小标宋_GBK" w:cs="方正小标宋_GBK"/>
          <w:bCs/>
          <w:spacing w:val="0"/>
          <w:w w:val="96"/>
          <w:sz w:val="44"/>
          <w:szCs w:val="44"/>
          <w:lang w:eastAsia="zh-CN"/>
        </w:rPr>
      </w:pPr>
      <w:r>
        <w:rPr>
          <w:rFonts w:ascii="Times New Roman" w:hAnsi="Times New Roman" w:eastAsia="方正小标宋简体"/>
          <w:sz w:val="44"/>
          <w:szCs w:val="44"/>
        </w:rPr>
        <w:t>“第一种形态”实施办法</w:t>
      </w:r>
      <w:r>
        <w:rPr>
          <w:rFonts w:hint="eastAsia" w:ascii="方正小标宋_GBK" w:hAnsi="方正小标宋_GBK" w:eastAsia="方正小标宋_GBK" w:cs="方正小标宋_GBK"/>
          <w:bCs/>
          <w:spacing w:val="0"/>
          <w:w w:val="96"/>
          <w:sz w:val="44"/>
          <w:szCs w:val="44"/>
          <w:lang w:eastAsia="zh-CN"/>
        </w:rPr>
        <w:t>》的通知</w:t>
      </w:r>
    </w:p>
    <w:p>
      <w:pPr>
        <w:pStyle w:val="11"/>
        <w:keepNext w:val="0"/>
        <w:keepLines w:val="0"/>
        <w:pageBreakBefore w:val="0"/>
        <w:widowControl/>
        <w:kinsoku/>
        <w:wordWrap/>
        <w:overflowPunct/>
        <w:topLinePunct w:val="0"/>
        <w:autoSpaceDE/>
        <w:autoSpaceDN/>
        <w:bidi w:val="0"/>
        <w:adjustRightInd/>
        <w:snapToGrid/>
        <w:spacing w:line="240" w:lineRule="exact"/>
        <w:ind w:left="0" w:leftChars="0" w:firstLine="0" w:firstLineChars="0"/>
        <w:textAlignment w:val="baseline"/>
        <w:rPr>
          <w:rFonts w:hint="default"/>
          <w:lang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eastAsia="方正仿宋_GBK" w:cs="Times New Roman"/>
          <w:sz w:val="32"/>
          <w:szCs w:val="32"/>
          <w:lang w:val="en-US" w:eastAsia="zh-CN"/>
        </w:rPr>
      </w:pPr>
      <w:r>
        <w:rPr>
          <w:rFonts w:hint="eastAsia" w:ascii="楷体" w:hAnsi="楷体" w:eastAsia="楷体" w:cs="楷体"/>
          <w:sz w:val="32"/>
          <w:szCs w:val="32"/>
          <w:lang w:val="en-US" w:eastAsia="zh-CN"/>
        </w:rPr>
        <w:t>机关党委、</w:t>
      </w:r>
      <w:r>
        <w:rPr>
          <w:rFonts w:hint="eastAsia" w:ascii="楷体" w:hAnsi="楷体" w:eastAsia="楷体" w:cs="楷体"/>
          <w:sz w:val="32"/>
          <w:szCs w:val="32"/>
        </w:rPr>
        <w:t>各党总支、直属党支部</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经校党委常委会研究同意，现将《新疆</w:t>
      </w:r>
      <w:r>
        <w:rPr>
          <w:rFonts w:hint="eastAsia" w:ascii="Times New Roman" w:hAnsi="Times New Roman" w:eastAsia="方正仿宋_GBK" w:cs="Times New Roman"/>
          <w:sz w:val="32"/>
          <w:szCs w:val="32"/>
          <w:lang w:val="en-US" w:eastAsia="zh-CN"/>
        </w:rPr>
        <w:t>职业</w:t>
      </w:r>
      <w:r>
        <w:rPr>
          <w:rFonts w:hint="default" w:ascii="Times New Roman" w:hAnsi="Times New Roman" w:eastAsia="方正仿宋_GBK" w:cs="Times New Roman"/>
          <w:sz w:val="32"/>
          <w:szCs w:val="32"/>
          <w:lang w:val="en-US" w:eastAsia="zh-CN"/>
        </w:rPr>
        <w:t>大学</w:t>
      </w:r>
      <w:r>
        <w:rPr>
          <w:rFonts w:hint="eastAsia" w:ascii="Times New Roman" w:hAnsi="Times New Roman" w:eastAsia="方正仿宋_GBK" w:cs="Times New Roman"/>
          <w:sz w:val="32"/>
          <w:szCs w:val="32"/>
          <w:lang w:val="en-US" w:eastAsia="zh-CN"/>
        </w:rPr>
        <w:t>基层党组织</w:t>
      </w:r>
      <w:r>
        <w:rPr>
          <w:rFonts w:hint="default" w:ascii="Times New Roman" w:hAnsi="Times New Roman" w:eastAsia="方正仿宋_GBK" w:cs="Times New Roman"/>
          <w:sz w:val="32"/>
          <w:szCs w:val="32"/>
          <w:lang w:val="en-US" w:eastAsia="zh-CN"/>
        </w:rPr>
        <w:t>运用“第一种形态”实施办法》印发给你们，</w:t>
      </w:r>
      <w:r>
        <w:rPr>
          <w:rFonts w:hint="eastAsia" w:ascii="Times New Roman" w:hAnsi="Times New Roman" w:eastAsia="方正仿宋_GBK" w:cs="Times New Roman"/>
          <w:sz w:val="32"/>
          <w:szCs w:val="32"/>
          <w:lang w:val="en-US" w:eastAsia="zh-CN"/>
        </w:rPr>
        <w:t>请</w:t>
      </w:r>
      <w:r>
        <w:rPr>
          <w:rFonts w:hint="eastAsia" w:eastAsia="方正仿宋_GBK" w:cs="Times New Roman"/>
          <w:sz w:val="32"/>
          <w:szCs w:val="32"/>
          <w:lang w:val="en-US" w:eastAsia="zh-CN"/>
        </w:rPr>
        <w:t>认真组织学习并</w:t>
      </w:r>
      <w:r>
        <w:rPr>
          <w:rFonts w:hint="eastAsia" w:ascii="Times New Roman" w:hAnsi="Times New Roman" w:eastAsia="方正仿宋_GBK" w:cs="Times New Roman"/>
          <w:sz w:val="32"/>
          <w:szCs w:val="32"/>
          <w:lang w:val="en-US" w:eastAsia="zh-CN"/>
        </w:rPr>
        <w:t>贯彻落实。</w:t>
      </w:r>
      <w:r>
        <w:rPr>
          <w:rFonts w:hint="default" w:ascii="Times New Roman" w:hAnsi="Times New Roman" w:eastAsia="方正仿宋_GBK" w:cs="Times New Roman"/>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120" w:firstLineChars="1600"/>
        <w:jc w:val="left"/>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120" w:firstLineChars="1600"/>
        <w:jc w:val="left"/>
        <w:textAlignment w:val="auto"/>
      </w:pPr>
      <w:r>
        <w:rPr>
          <w:rFonts w:hint="default" w:ascii="Times New Roman" w:hAnsi="Times New Roman" w:eastAsia="方正仿宋_GBK" w:cs="Times New Roman"/>
          <w:sz w:val="32"/>
          <w:szCs w:val="32"/>
          <w:lang w:val="en-US" w:eastAsia="zh-CN"/>
        </w:rPr>
        <w:t>2021年1</w:t>
      </w:r>
      <w:r>
        <w:rPr>
          <w:rFonts w:hint="eastAsia"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月</w:t>
      </w:r>
      <w:r>
        <w:rPr>
          <w:rFonts w:hint="eastAsia" w:eastAsia="方正仿宋_GBK" w:cs="Times New Roman"/>
          <w:sz w:val="32"/>
          <w:szCs w:val="32"/>
          <w:lang w:val="en-US" w:eastAsia="zh-CN"/>
        </w:rPr>
        <w:t>12</w:t>
      </w:r>
      <w:r>
        <w:rPr>
          <w:rFonts w:hint="default" w:ascii="Times New Roman" w:hAnsi="Times New Roman" w:eastAsia="方正仿宋_GBK" w:cs="Times New Roman"/>
          <w:sz w:val="32"/>
          <w:szCs w:val="32"/>
          <w:lang w:val="en-US" w:eastAsia="zh-CN"/>
        </w:rPr>
        <w:t>日</w:t>
      </w:r>
    </w:p>
    <w:p>
      <w:pPr>
        <w:keepNext w:val="0"/>
        <w:keepLines w:val="0"/>
        <w:pageBreakBefore w:val="0"/>
        <w:widowControl w:val="0"/>
        <w:pBdr>
          <w:bottom w:val="single" w:color="auto" w:sz="6" w:space="1"/>
        </w:pBdr>
        <w:kinsoku/>
        <w:wordWrap/>
        <w:overflowPunct/>
        <w:topLinePunct w:val="0"/>
        <w:autoSpaceDE/>
        <w:autoSpaceDN/>
        <w:bidi w:val="0"/>
        <w:adjustRightInd/>
        <w:snapToGrid/>
        <w:spacing w:line="560" w:lineRule="exact"/>
        <w:textAlignment w:val="auto"/>
        <w:rPr>
          <w:rFonts w:hint="eastAsia" w:eastAsia="黑体"/>
          <w:sz w:val="32"/>
        </w:rPr>
      </w:pPr>
    </w:p>
    <w:p>
      <w:pPr>
        <w:widowControl w:val="0"/>
        <w:wordWrap/>
        <w:adjustRightInd/>
        <w:snapToGrid/>
        <w:spacing w:line="640" w:lineRule="exact"/>
        <w:textAlignment w:val="auto"/>
        <w:rPr>
          <w:rFonts w:eastAsia="仿宋_GB2312"/>
          <w:sz w:val="28"/>
          <w:szCs w:val="28"/>
        </w:rPr>
      </w:pPr>
      <w:r>
        <w:rPr>
          <w:rFonts w:eastAsia="汉鼎简大宋"/>
          <w:sz w:val="32"/>
        </w:rPr>
        <w:t xml:space="preserve">  </w:t>
      </w:r>
      <w:r>
        <w:rPr>
          <w:rFonts w:eastAsia="仿宋_GB2312"/>
          <w:sz w:val="28"/>
          <w:szCs w:val="28"/>
        </w:rPr>
        <w:t>抄送：</w:t>
      </w:r>
      <w:r>
        <w:rPr>
          <w:rFonts w:hint="eastAsia" w:eastAsia="仿宋_GB2312"/>
          <w:sz w:val="28"/>
          <w:szCs w:val="28"/>
        </w:rPr>
        <w:t>校党委常委</w:t>
      </w:r>
    </w:p>
    <w:p>
      <w:pPr>
        <w:widowControl w:val="0"/>
        <w:pBdr>
          <w:top w:val="single" w:color="auto" w:sz="6" w:space="1"/>
          <w:bottom w:val="single" w:color="auto" w:sz="6" w:space="1"/>
        </w:pBdr>
        <w:wordWrap/>
        <w:adjustRightInd/>
        <w:snapToGrid/>
        <w:spacing w:line="640" w:lineRule="exact"/>
        <w:textAlignment w:val="auto"/>
        <w:rPr>
          <w:rFonts w:hint="default" w:ascii="Times New Roman" w:hAnsi="Times New Roman" w:eastAsia="方正仿宋_GBK" w:cs="Times New Roman"/>
          <w:sz w:val="32"/>
          <w:szCs w:val="32"/>
        </w:rPr>
      </w:pPr>
      <w:r>
        <w:rPr>
          <w:rFonts w:hint="eastAsia" w:eastAsia="仿宋_GB2312"/>
          <w:sz w:val="28"/>
          <w:szCs w:val="28"/>
          <w:lang w:val="en-US" w:eastAsia="zh-CN"/>
        </w:rPr>
        <w:t xml:space="preserve">  中共</w:t>
      </w:r>
      <w:r>
        <w:rPr>
          <w:rFonts w:eastAsia="仿宋_GB2312"/>
          <w:sz w:val="28"/>
          <w:szCs w:val="28"/>
        </w:rPr>
        <w:t>新疆职业大学</w:t>
      </w:r>
      <w:r>
        <w:rPr>
          <w:rFonts w:hint="eastAsia" w:eastAsia="仿宋_GB2312"/>
          <w:sz w:val="28"/>
          <w:szCs w:val="28"/>
          <w:lang w:eastAsia="zh-CN"/>
        </w:rPr>
        <w:t>委员会办公室</w:t>
      </w:r>
      <w:r>
        <w:rPr>
          <w:rFonts w:eastAsia="仿宋_GB2312"/>
          <w:sz w:val="28"/>
          <w:szCs w:val="28"/>
        </w:rPr>
        <w:t xml:space="preserve">          </w:t>
      </w:r>
      <w:r>
        <w:rPr>
          <w:rFonts w:hint="eastAsia" w:eastAsia="仿宋_GB2312"/>
          <w:sz w:val="28"/>
          <w:szCs w:val="28"/>
        </w:rPr>
        <w:t xml:space="preserve"> </w:t>
      </w:r>
      <w:r>
        <w:rPr>
          <w:rFonts w:eastAsia="仿宋_GB2312"/>
          <w:sz w:val="28"/>
          <w:szCs w:val="28"/>
        </w:rPr>
        <w:t>20</w:t>
      </w:r>
      <w:r>
        <w:rPr>
          <w:rFonts w:hint="eastAsia" w:eastAsia="仿宋_GB2312"/>
          <w:sz w:val="28"/>
          <w:szCs w:val="28"/>
          <w:lang w:val="en-US" w:eastAsia="zh-CN"/>
        </w:rPr>
        <w:t>21</w:t>
      </w:r>
      <w:r>
        <w:rPr>
          <w:rFonts w:eastAsia="仿宋_GB2312"/>
          <w:sz w:val="28"/>
          <w:szCs w:val="28"/>
        </w:rPr>
        <w:t>年</w:t>
      </w:r>
      <w:r>
        <w:rPr>
          <w:rFonts w:hint="eastAsia" w:eastAsia="仿宋_GB2312"/>
          <w:sz w:val="28"/>
          <w:szCs w:val="28"/>
          <w:lang w:val="en-US" w:eastAsia="zh-CN"/>
        </w:rPr>
        <w:t>12</w:t>
      </w:r>
      <w:r>
        <w:rPr>
          <w:rFonts w:eastAsia="仿宋_GB2312"/>
          <w:sz w:val="28"/>
          <w:szCs w:val="28"/>
        </w:rPr>
        <w:t>月</w:t>
      </w:r>
      <w:r>
        <w:rPr>
          <w:rFonts w:hint="eastAsia" w:eastAsia="仿宋_GB2312"/>
          <w:sz w:val="28"/>
          <w:szCs w:val="28"/>
          <w:lang w:val="en-US" w:eastAsia="zh-CN"/>
        </w:rPr>
        <w:t>12</w:t>
      </w:r>
      <w:r>
        <w:rPr>
          <w:rFonts w:eastAsia="仿宋_GB2312"/>
          <w:sz w:val="28"/>
          <w:szCs w:val="28"/>
        </w:rPr>
        <w:t>日印发</w:t>
      </w:r>
    </w:p>
    <w:p>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新疆</w:t>
      </w:r>
      <w:r>
        <w:rPr>
          <w:rFonts w:hint="eastAsia" w:ascii="Times New Roman" w:hAnsi="Times New Roman" w:eastAsia="方正小标宋简体"/>
          <w:sz w:val="44"/>
          <w:szCs w:val="44"/>
        </w:rPr>
        <w:t>职业</w:t>
      </w:r>
      <w:r>
        <w:rPr>
          <w:rFonts w:ascii="Times New Roman" w:hAnsi="Times New Roman" w:eastAsia="方正小标宋简体"/>
          <w:sz w:val="44"/>
          <w:szCs w:val="44"/>
        </w:rPr>
        <w:t>大学</w:t>
      </w:r>
      <w:r>
        <w:rPr>
          <w:rFonts w:hint="eastAsia" w:ascii="Times New Roman" w:hAnsi="Times New Roman" w:eastAsia="方正小标宋简体"/>
          <w:sz w:val="44"/>
          <w:szCs w:val="44"/>
        </w:rPr>
        <w:t>基层党组织</w:t>
      </w:r>
      <w:r>
        <w:rPr>
          <w:rFonts w:ascii="Times New Roman" w:hAnsi="Times New Roman" w:eastAsia="方正小标宋简体"/>
          <w:sz w:val="44"/>
          <w:szCs w:val="44"/>
        </w:rPr>
        <w:t>运用“第一种形态”</w:t>
      </w:r>
    </w:p>
    <w:p>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实施办法</w:t>
      </w:r>
      <w:r>
        <w:rPr>
          <w:rFonts w:hint="eastAsia" w:ascii="Times New Roman" w:hAnsi="Times New Roman" w:eastAsia="方正小标宋简体"/>
          <w:sz w:val="44"/>
          <w:szCs w:val="44"/>
        </w:rPr>
        <w:t xml:space="preserve">     </w:t>
      </w:r>
    </w:p>
    <w:p>
      <w:pPr>
        <w:spacing w:line="600" w:lineRule="exact"/>
        <w:jc w:val="center"/>
        <w:rPr>
          <w:rFonts w:ascii="Times New Roman" w:hAnsi="Times New Roman" w:eastAsia="方正小标宋简体"/>
          <w:sz w:val="44"/>
          <w:szCs w:val="44"/>
        </w:rPr>
      </w:pPr>
    </w:p>
    <w:p>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黑体"/>
          <w:sz w:val="32"/>
          <w:szCs w:val="32"/>
        </w:rPr>
        <w:t>第一条</w:t>
      </w:r>
      <w:r>
        <w:rPr>
          <w:rFonts w:ascii="Times New Roman" w:hAnsi="Times New Roman" w:eastAsia="仿宋_GB2312"/>
          <w:sz w:val="32"/>
          <w:szCs w:val="32"/>
        </w:rPr>
        <w:t xml:space="preserve">  为了压紧压实各党总支、直属党支部全面从严治党主体责任，规范使用“第一种形态”，加强对各党总支、直属党支部领导班子成员和</w:t>
      </w:r>
      <w:r>
        <w:rPr>
          <w:rFonts w:hint="eastAsia" w:ascii="Times New Roman" w:hAnsi="Times New Roman" w:eastAsia="仿宋_GB2312"/>
          <w:sz w:val="32"/>
          <w:szCs w:val="32"/>
        </w:rPr>
        <w:t>各级</w:t>
      </w:r>
      <w:r>
        <w:rPr>
          <w:rFonts w:ascii="Times New Roman" w:hAnsi="Times New Roman" w:eastAsia="仿宋_GB2312"/>
          <w:sz w:val="32"/>
          <w:szCs w:val="32"/>
        </w:rPr>
        <w:t>干部日常教育、管理和监督，推动全面从严治党向纵深发展，根据《中国共产党党内监督条例》《党委（党组）落实全面从严治党主体责任规定》等党内法规和《自治区党委办公厅关于印发&lt;自治区各级党委（党组）运用“第一种形态”实施办法&gt;的通知》（新党办发〔2021〕1号）要求，结合学校实际，制定本办法。</w:t>
      </w:r>
    </w:p>
    <w:p>
      <w:pPr>
        <w:spacing w:line="600" w:lineRule="exact"/>
        <w:ind w:firstLine="640" w:firstLineChars="200"/>
        <w:rPr>
          <w:rFonts w:ascii="Times New Roman" w:hAnsi="Times New Roman" w:eastAsia="仿宋_GB2312"/>
          <w:sz w:val="32"/>
          <w:szCs w:val="32"/>
        </w:rPr>
      </w:pPr>
      <w:r>
        <w:rPr>
          <w:rFonts w:ascii="Times New Roman" w:hAnsi="Times New Roman" w:eastAsia="黑体"/>
          <w:sz w:val="32"/>
          <w:szCs w:val="32"/>
        </w:rPr>
        <w:t xml:space="preserve">第二条 </w:t>
      </w:r>
      <w:r>
        <w:rPr>
          <w:rFonts w:ascii="Times New Roman" w:hAnsi="Times New Roman" w:eastAsia="仿宋_GB2312"/>
          <w:sz w:val="32"/>
          <w:szCs w:val="32"/>
        </w:rPr>
        <w:t xml:space="preserve"> 本办法所称“第一种形态”，是指经常开展批评和自我批评、约谈提醒，让“红红脸、出出汗”成为常态。</w:t>
      </w:r>
    </w:p>
    <w:p>
      <w:pPr>
        <w:spacing w:line="600" w:lineRule="exact"/>
        <w:ind w:firstLine="640" w:firstLineChars="200"/>
        <w:rPr>
          <w:rFonts w:ascii="Times New Roman" w:hAnsi="Times New Roman" w:eastAsia="仿宋_GB2312"/>
          <w:sz w:val="32"/>
          <w:szCs w:val="32"/>
        </w:rPr>
      </w:pPr>
      <w:r>
        <w:rPr>
          <w:rFonts w:ascii="Times New Roman" w:hAnsi="Times New Roman" w:eastAsia="黑体"/>
          <w:sz w:val="32"/>
          <w:szCs w:val="32"/>
        </w:rPr>
        <w:t xml:space="preserve">第三条 </w:t>
      </w:r>
      <w:r>
        <w:rPr>
          <w:rFonts w:ascii="Times New Roman" w:hAnsi="Times New Roman" w:eastAsia="仿宋_GB2312"/>
          <w:sz w:val="32"/>
          <w:szCs w:val="32"/>
        </w:rPr>
        <w:t xml:space="preserve"> </w:t>
      </w:r>
      <w:r>
        <w:rPr>
          <w:rFonts w:ascii="Times New Roman" w:hAnsi="Times New Roman" w:eastAsia="仿宋_GB2312"/>
          <w:spacing w:val="-11"/>
          <w:sz w:val="32"/>
          <w:szCs w:val="32"/>
        </w:rPr>
        <w:t>本办法适用于全校各党总支、直属党支部</w:t>
      </w:r>
      <w:r>
        <w:rPr>
          <w:rFonts w:ascii="Times New Roman" w:hAnsi="Times New Roman" w:eastAsia="仿宋_GB2312"/>
          <w:sz w:val="32"/>
          <w:szCs w:val="32"/>
        </w:rPr>
        <w:t>。</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第四条 </w:t>
      </w:r>
      <w:r>
        <w:rPr>
          <w:rFonts w:ascii="Times New Roman" w:hAnsi="Times New Roman" w:eastAsia="仿宋_GB2312"/>
          <w:sz w:val="32"/>
          <w:szCs w:val="32"/>
        </w:rPr>
        <w:t xml:space="preserve"> 各党总支、直属党支部运用“第一种形态”，应当坚持党要管党、全面从严治党，强化监督责任，把纪律挺在前面，将思想政治工作贯穿全过程，贯彻落实“三个区分开来”要求，抓早抓小、防微杜渐，实事求是、依规依纪，惩前毖后、治病救人，最大限度防止领导班子成员和</w:t>
      </w:r>
      <w:r>
        <w:rPr>
          <w:rFonts w:hint="eastAsia" w:ascii="Times New Roman" w:hAnsi="Times New Roman" w:eastAsia="仿宋_GB2312"/>
          <w:sz w:val="32"/>
          <w:szCs w:val="32"/>
        </w:rPr>
        <w:t>各级</w:t>
      </w:r>
      <w:r>
        <w:rPr>
          <w:rFonts w:ascii="Times New Roman" w:hAnsi="Times New Roman" w:eastAsia="仿宋_GB2312"/>
          <w:sz w:val="32"/>
          <w:szCs w:val="32"/>
        </w:rPr>
        <w:t>干部犯错误，最大限度激励各级干部新时代新担当新作为。</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第五条  </w:t>
      </w:r>
      <w:r>
        <w:rPr>
          <w:rFonts w:ascii="Times New Roman" w:hAnsi="Times New Roman" w:eastAsia="仿宋_GB2312"/>
          <w:sz w:val="32"/>
          <w:szCs w:val="32"/>
        </w:rPr>
        <w:t>各党总支、直属党支部在运用“第一种形态”工作中负主体责任；各党总支、直属党支部书记是第一责任人，应当带头落实并领导、指导、督促班子其他成员运用“第一种形态”；各党总支、直属党支部领导班子其他成员在职责范围内履行“一岗双责”，应当严格落实并领导、指导、督促分管部门运用“第一种形态”。</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各基层纪检委员应当协助同级党</w:t>
      </w:r>
      <w:r>
        <w:rPr>
          <w:rFonts w:hint="eastAsia" w:ascii="Times New Roman" w:hAnsi="Times New Roman" w:eastAsia="仿宋_GB2312"/>
          <w:sz w:val="32"/>
          <w:szCs w:val="32"/>
        </w:rPr>
        <w:t>组织</w:t>
      </w:r>
      <w:r>
        <w:rPr>
          <w:rFonts w:ascii="Times New Roman" w:hAnsi="Times New Roman" w:eastAsia="仿宋_GB2312"/>
          <w:sz w:val="32"/>
          <w:szCs w:val="32"/>
        </w:rPr>
        <w:t>运用“第一种形态”，加强对所辖范围内党</w:t>
      </w:r>
      <w:r>
        <w:rPr>
          <w:rFonts w:hint="eastAsia" w:ascii="Times New Roman" w:hAnsi="Times New Roman" w:eastAsia="仿宋_GB2312"/>
          <w:sz w:val="32"/>
          <w:szCs w:val="32"/>
        </w:rPr>
        <w:t>组织</w:t>
      </w:r>
      <w:r>
        <w:rPr>
          <w:rFonts w:ascii="Times New Roman" w:hAnsi="Times New Roman" w:eastAsia="仿宋_GB2312"/>
          <w:sz w:val="32"/>
          <w:szCs w:val="32"/>
        </w:rPr>
        <w:t>运用“第一种形态”的指导、监督、考核。</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第六条  </w:t>
      </w:r>
      <w:r>
        <w:rPr>
          <w:rFonts w:ascii="Times New Roman" w:hAnsi="Times New Roman" w:eastAsia="仿宋_GB2312"/>
          <w:sz w:val="32"/>
          <w:szCs w:val="32"/>
        </w:rPr>
        <w:t>各党总支、直属党支部运用“第一种形态”，主要采取以下处置方式：</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1.提醒谈话；</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2.约谈；</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3.批评教育；</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4.纠正或者责令停止错误行为；</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5.限期整改；</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6.责令作出书面检查；</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7.召开民主生活会批评帮助；</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8.通报；</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9.诫勉。</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以上处置方式，可以单独使用，也可以合并使用，诫勉谈话按照现行有关规定执行。对已经造成不良影响或者实际后果，需要追究党纪责任的，应当严格按照《中国共产党纪律处分条例》等党内法规给予相应处分，不得以“第一种形态”代替纪律处分。</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第七条 </w:t>
      </w:r>
      <w:r>
        <w:rPr>
          <w:rFonts w:ascii="Times New Roman" w:hAnsi="Times New Roman" w:eastAsia="仿宋_GB2312"/>
          <w:sz w:val="32"/>
          <w:szCs w:val="32"/>
        </w:rPr>
        <w:t xml:space="preserve"> 各党总支、直属党支部在日常教育管理监督中，发现领导班子成员和</w:t>
      </w:r>
      <w:r>
        <w:rPr>
          <w:rFonts w:hint="eastAsia" w:ascii="Times New Roman" w:hAnsi="Times New Roman" w:eastAsia="仿宋_GB2312"/>
          <w:sz w:val="32"/>
          <w:szCs w:val="32"/>
        </w:rPr>
        <w:t>各级</w:t>
      </w:r>
      <w:r>
        <w:rPr>
          <w:rFonts w:ascii="Times New Roman" w:hAnsi="Times New Roman" w:eastAsia="仿宋_GB2312"/>
          <w:sz w:val="32"/>
          <w:szCs w:val="32"/>
        </w:rPr>
        <w:t>干部存在政治、思想、工作、生活、作风、纪律等苗头性、倾向性问题，或者问题轻微不需要追究纪律责任，或者经纪律审查后符合有关规定免予或不予处分的，应当及时运用“第一种形态”进行处置。主</w:t>
      </w:r>
      <w:r>
        <w:rPr>
          <w:rFonts w:hint="eastAsia" w:ascii="Times New Roman" w:hAnsi="Times New Roman" w:eastAsia="仿宋_GB2312"/>
          <w:sz w:val="32"/>
          <w:szCs w:val="32"/>
        </w:rPr>
        <w:t>要</w:t>
      </w:r>
      <w:r>
        <w:rPr>
          <w:rFonts w:ascii="Times New Roman" w:hAnsi="Times New Roman" w:eastAsia="仿宋_GB2312"/>
          <w:sz w:val="32"/>
          <w:szCs w:val="32"/>
        </w:rPr>
        <w:t>包括以下方面：</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一）“四个意识”有所淡化、“四个自信”不够坚定、“两个维护”不够自觉，贯彻习近平总书记重要讲话和重要指示批示精神、党中央重大决策部署、新时代党的治疆方略和上级党组织决定存在轻微政治偏差和失误，或者落实效果不明显，需要及时提醒纠正的；</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在坚持和加强党的全面领导、抓好党的建设方面存在薄弱环节，履行全面从严治党主体责任力度不够，管党治党问题较多、党员群众来信来访反映问题较多，或者权力配置和运行监督制约机制存在风险漏洞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（三）发现存在影响单位政治生态的苗头性、倾向性问题，</w:t>
      </w:r>
      <w:r>
        <w:rPr>
          <w:rFonts w:ascii="Times New Roman" w:hAnsi="Times New Roman" w:eastAsia="仿宋_GB2312"/>
          <w:spacing w:val="-11"/>
          <w:sz w:val="32"/>
          <w:szCs w:val="32"/>
        </w:rPr>
        <w:t>或者日常教育管理监督不够严格，管辖范围内发生违规违纪问题的；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（四）党性教育特别是理想信念宗旨教育流于形式，落实意识形态工作责任制不到位的；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（五）执行民主集中制、党政联席会议议事和决策程序、末位表态和重大事项请示报告、个人有关事项报告等制度不够严格，落实“三会一课”、民主生活会和组织生活会等党内政治生活制度不规范的；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（六）执行干部选拔任用工作规定不规范，选人用人导向有偏差，出现苗头性、倾向性不正之风，或者领导干部述责述廉测评、党员民主评议满意度较低的；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（七）落实巡视巡察整改要求不到位，或者开展巡察工作不力、效果不明显，尚未造成不良后果，需要及时提醒纠正的；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（八）发现在依法履职、秉公用权、廉洁自律、道德操守以及在维护班子团结、担当作为等方面存在苗头性、倾向性问题的；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（九）联系群众不够密切，服务群众不够深入，解决群众合理诉求没有及时到位的；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（十）落实中央八项规定及其实施细则精神，纠治“四风”特别是形式主义、官僚主义方面思想有所松懈，工作中有搞形式、走过场倾向的；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（十一）执行党内法规不够严格，在履行领导、统筹、牵头、配合、监督等执规责任上不力的；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（十二）存在特权思想倾向，或者家风不严格，配偶、子女及其配偶等存在苗头性、倾向性问题，干部群众有所反映的；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（十三）其他需要运用“第一种形态”处置的。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第八条 </w:t>
      </w:r>
      <w:r>
        <w:rPr>
          <w:rFonts w:ascii="Times New Roman" w:hAnsi="Times New Roman" w:eastAsia="仿宋_GB2312"/>
          <w:sz w:val="32"/>
          <w:szCs w:val="32"/>
        </w:rPr>
        <w:t xml:space="preserve"> 各党总支、直属党支部运用“第一种形态”，按照干部管理权限确定实施主体并组织实施。各单位、各部门</w:t>
      </w:r>
      <w:r>
        <w:rPr>
          <w:rFonts w:hint="eastAsia" w:ascii="Times New Roman" w:hAnsi="Times New Roman" w:eastAsia="仿宋_GB2312"/>
          <w:sz w:val="32"/>
          <w:szCs w:val="32"/>
        </w:rPr>
        <w:t>中层干部</w:t>
      </w:r>
      <w:r>
        <w:rPr>
          <w:rFonts w:ascii="Times New Roman" w:hAnsi="Times New Roman" w:eastAsia="仿宋_GB2312"/>
          <w:sz w:val="32"/>
          <w:szCs w:val="32"/>
        </w:rPr>
        <w:t>一般由各党总支、直属党支部书记或者各党总支、直属党支部书记委托同级班子成员进行。班子成员须经党总支、直属党支部书记批准，可以对分管范围的</w:t>
      </w:r>
      <w:r>
        <w:rPr>
          <w:rFonts w:hint="eastAsia" w:ascii="Times New Roman" w:hAnsi="Times New Roman" w:eastAsia="仿宋_GB2312"/>
          <w:sz w:val="32"/>
          <w:szCs w:val="32"/>
        </w:rPr>
        <w:t>各级</w:t>
      </w:r>
      <w:r>
        <w:rPr>
          <w:rFonts w:ascii="Times New Roman" w:hAnsi="Times New Roman" w:eastAsia="仿宋_GB2312"/>
          <w:sz w:val="32"/>
          <w:szCs w:val="32"/>
        </w:rPr>
        <w:t>干部</w:t>
      </w:r>
      <w:r>
        <w:rPr>
          <w:rFonts w:hint="eastAsia" w:ascii="Times New Roman" w:hAnsi="Times New Roman" w:eastAsia="仿宋_GB2312"/>
          <w:sz w:val="32"/>
          <w:szCs w:val="32"/>
        </w:rPr>
        <w:t>特别是中层干部</w:t>
      </w:r>
      <w:r>
        <w:rPr>
          <w:rFonts w:ascii="Times New Roman" w:hAnsi="Times New Roman" w:eastAsia="仿宋_GB2312"/>
          <w:sz w:val="32"/>
          <w:szCs w:val="32"/>
        </w:rPr>
        <w:t>运用“第一种形态”进行处置。</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第九条  </w:t>
      </w:r>
      <w:r>
        <w:rPr>
          <w:rFonts w:ascii="Times New Roman" w:hAnsi="Times New Roman" w:eastAsia="仿宋_GB2312"/>
          <w:sz w:val="32"/>
          <w:szCs w:val="32"/>
        </w:rPr>
        <w:t>各党总支、直属党支部运用“第一种形态”时，应当坚持问题导向，列出“问题清单”，以适当方式了解掌握或者核实，深入分析研判，区别不同情况，正确适用提醒谈话、约谈、批评教育、通报批评和诫勉处置方式：</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（一）对党员群众有议论、有反映的苗头性、倾向性问题或者其他需要引起注意的情况，应当及时进行提醒谈话；</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（二）对全面从严治党责任不到位、管党治党问题较多、党员群众反映问题较多的，应当及时进行约谈；</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三）对轻微违规违纪行为，不需要追究党纪责任或者组织处理，或者经纪律审查后符合有关规定不予党纪处分的，可以及时批评教育。对于具有典型意义的违规违纪行为，能够对他人起到警示和防范作用的，可在一定范围内通报批评；</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（四）对轻微违纪行为，查证属实后不需要给予党纪处分，但造成了一定影响，或者经纪律审查后符合有关规定免予党纪处分的，需要对其进行训诫警示的，可以及时予以诫勉处理。</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采取上述方式处置的，应当实事求是地向当事人说明事由，认真听取其对有关问题的解释和说明，提出需要了解的情况或者明确指出需要注意的问题，真诚帮助改过，有针对性地提出整改要求。谈话情况应当制作记录，并严格履行保密责任。</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第十条</w:t>
      </w:r>
      <w:r>
        <w:rPr>
          <w:rFonts w:ascii="Times New Roman" w:hAnsi="Times New Roman" w:eastAsia="仿宋_GB2312"/>
          <w:sz w:val="32"/>
          <w:szCs w:val="32"/>
        </w:rPr>
        <w:t xml:space="preserve">  采取纠正或者责令停止错误行为、限期整改的，应当实事求是向当事人说明事由，责令其立即停止或者纠正正在实施的违规违纪行为，防止造成更大损失和不良后果，并帮助其分析原因，明确整改措施、整改时限。</w:t>
      </w:r>
    </w:p>
    <w:p>
      <w:pPr>
        <w:spacing w:line="600" w:lineRule="exact"/>
        <w:ind w:firstLine="640" w:firstLineChars="200"/>
        <w:rPr>
          <w:rFonts w:ascii="Times New Roman" w:hAnsi="Times New Roman" w:eastAsia="仿宋_GB2312"/>
          <w:sz w:val="32"/>
          <w:szCs w:val="32"/>
        </w:rPr>
      </w:pPr>
      <w:r>
        <w:rPr>
          <w:rFonts w:ascii="Times New Roman" w:hAnsi="Times New Roman" w:eastAsia="黑体"/>
          <w:sz w:val="32"/>
          <w:szCs w:val="32"/>
        </w:rPr>
        <w:t>第十一条</w:t>
      </w:r>
      <w:r>
        <w:rPr>
          <w:rFonts w:ascii="Times New Roman" w:hAnsi="Times New Roman" w:eastAsia="仿宋_GB2312"/>
          <w:sz w:val="32"/>
          <w:szCs w:val="32"/>
        </w:rPr>
        <w:t xml:space="preserve">  采取责令作出书面检查的，应当要求当事人写明检查事项、思想认识、整改措施、整改时限，总结教训，保证不再重犯。整改情况在一定范围内通报。</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第十二条 </w:t>
      </w:r>
      <w:r>
        <w:rPr>
          <w:rFonts w:ascii="Times New Roman" w:hAnsi="Times New Roman" w:eastAsia="仿宋_GB2312"/>
          <w:sz w:val="32"/>
          <w:szCs w:val="32"/>
        </w:rPr>
        <w:t xml:space="preserve"> 采取召开民主生活会（组织生活会）对</w:t>
      </w:r>
      <w:r>
        <w:rPr>
          <w:rFonts w:hint="eastAsia" w:ascii="Times New Roman" w:hAnsi="Times New Roman" w:eastAsia="仿宋_GB2312"/>
          <w:sz w:val="32"/>
          <w:szCs w:val="32"/>
        </w:rPr>
        <w:t>领导</w:t>
      </w:r>
      <w:r>
        <w:rPr>
          <w:rFonts w:ascii="Times New Roman" w:hAnsi="Times New Roman" w:eastAsia="仿宋_GB2312"/>
          <w:sz w:val="32"/>
          <w:szCs w:val="32"/>
        </w:rPr>
        <w:t>干部进行批评帮助的，应当明确需要整改的问题、整改要求等事项。当事人应当在民主生活会（组织生活会）上就有关问题作出说明或者检讨，并在党组织要求的期限内上报个人整改情况。</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第十三条 </w:t>
      </w:r>
      <w:r>
        <w:rPr>
          <w:rFonts w:ascii="Times New Roman" w:hAnsi="Times New Roman" w:eastAsia="仿宋_GB2312"/>
          <w:sz w:val="32"/>
          <w:szCs w:val="32"/>
        </w:rPr>
        <w:t xml:space="preserve"> 各党总支、直属党支部应当明确党政办或者</w:t>
      </w:r>
      <w:r>
        <w:rPr>
          <w:rFonts w:hint="eastAsia" w:ascii="Times New Roman" w:hAnsi="Times New Roman" w:eastAsia="仿宋_GB2312"/>
          <w:sz w:val="32"/>
          <w:szCs w:val="32"/>
        </w:rPr>
        <w:t>纪检委员</w:t>
      </w:r>
      <w:r>
        <w:rPr>
          <w:rFonts w:ascii="Times New Roman" w:hAnsi="Times New Roman" w:eastAsia="仿宋_GB2312"/>
          <w:sz w:val="32"/>
          <w:szCs w:val="32"/>
        </w:rPr>
        <w:t>作为运用“第一种形态”的具体承办部门</w:t>
      </w:r>
      <w:r>
        <w:rPr>
          <w:rFonts w:hint="eastAsia" w:ascii="Times New Roman" w:hAnsi="Times New Roman" w:eastAsia="仿宋_GB2312"/>
          <w:sz w:val="32"/>
          <w:szCs w:val="32"/>
        </w:rPr>
        <w:t>或</w:t>
      </w:r>
      <w:r>
        <w:rPr>
          <w:rFonts w:ascii="Times New Roman" w:hAnsi="Times New Roman" w:eastAsia="仿宋_GB2312"/>
          <w:sz w:val="32"/>
          <w:szCs w:val="32"/>
        </w:rPr>
        <w:t>承办</w:t>
      </w:r>
      <w:r>
        <w:rPr>
          <w:rFonts w:hint="eastAsia" w:ascii="Times New Roman" w:hAnsi="Times New Roman" w:eastAsia="仿宋_GB2312"/>
          <w:sz w:val="32"/>
          <w:szCs w:val="32"/>
        </w:rPr>
        <w:t>责任</w:t>
      </w:r>
      <w:r>
        <w:rPr>
          <w:rFonts w:ascii="Times New Roman" w:hAnsi="Times New Roman" w:eastAsia="仿宋_GB2312"/>
          <w:sz w:val="32"/>
          <w:szCs w:val="32"/>
        </w:rPr>
        <w:t>人，负责综合协调、方案制定、了解核实、情况汇总、督办落实等工作。</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各党总支、直属党支部运用“第一种形态”进行处置时，由党总支、直属党支部领导班子成员根据掌握的情况确定对象或由党政办提出建议名单，报经党总支、直属党支部书记批准后组织实施。</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第十四条 </w:t>
      </w:r>
      <w:r>
        <w:rPr>
          <w:rFonts w:ascii="Times New Roman" w:hAnsi="Times New Roman" w:eastAsia="仿宋_GB2312"/>
          <w:sz w:val="32"/>
          <w:szCs w:val="32"/>
        </w:rPr>
        <w:t xml:space="preserve"> 承办部门应当加强对接受“第一种形态”处置</w:t>
      </w:r>
      <w:r>
        <w:rPr>
          <w:rFonts w:hint="eastAsia" w:ascii="Times New Roman" w:hAnsi="Times New Roman" w:eastAsia="仿宋_GB2312"/>
          <w:sz w:val="32"/>
          <w:szCs w:val="32"/>
        </w:rPr>
        <w:t>各级</w:t>
      </w:r>
      <w:r>
        <w:rPr>
          <w:rFonts w:ascii="Times New Roman" w:hAnsi="Times New Roman" w:eastAsia="仿宋_GB2312"/>
          <w:sz w:val="32"/>
          <w:szCs w:val="32"/>
        </w:rPr>
        <w:t>干部的现实表现和整改措施落实情况的跟踪了解，发现其思想认识不到位，应付整改、虚假整改、整改不彻底的，按程序报请党总支、直属党支部或者</w:t>
      </w:r>
      <w:r>
        <w:rPr>
          <w:rFonts w:hint="eastAsia" w:ascii="Times New Roman" w:hAnsi="Times New Roman" w:eastAsia="仿宋_GB2312"/>
          <w:sz w:val="32"/>
          <w:szCs w:val="32"/>
        </w:rPr>
        <w:t>校纪委</w:t>
      </w:r>
      <w:r>
        <w:rPr>
          <w:rFonts w:ascii="Times New Roman" w:hAnsi="Times New Roman" w:eastAsia="仿宋_GB2312"/>
          <w:sz w:val="32"/>
          <w:szCs w:val="32"/>
        </w:rPr>
        <w:t>，视情节轻重给予其组织处理直至纪律处分。</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承办部门应当建立健全报批、记录、台账、督办等工作机制，及时填写《党总支</w:t>
      </w:r>
      <w:r>
        <w:rPr>
          <w:rFonts w:hint="eastAsia" w:ascii="Times New Roman" w:hAnsi="Times New Roman" w:eastAsia="仿宋_GB2312"/>
          <w:sz w:val="32"/>
          <w:szCs w:val="32"/>
        </w:rPr>
        <w:t>（</w:t>
      </w:r>
      <w:r>
        <w:rPr>
          <w:rFonts w:ascii="Times New Roman" w:hAnsi="Times New Roman" w:eastAsia="仿宋_GB2312"/>
          <w:sz w:val="32"/>
          <w:szCs w:val="32"/>
        </w:rPr>
        <w:t>直属党支部</w:t>
      </w:r>
      <w:r>
        <w:rPr>
          <w:rFonts w:hint="eastAsia" w:ascii="Times New Roman" w:hAnsi="Times New Roman" w:eastAsia="仿宋_GB2312"/>
          <w:sz w:val="32"/>
          <w:szCs w:val="32"/>
        </w:rPr>
        <w:t>）</w:t>
      </w:r>
      <w:r>
        <w:rPr>
          <w:rFonts w:ascii="Times New Roman" w:hAnsi="Times New Roman" w:eastAsia="仿宋_GB2312"/>
          <w:sz w:val="32"/>
          <w:szCs w:val="32"/>
        </w:rPr>
        <w:t>运用“第一种形态”处置备案表》，每月填报《党总支</w:t>
      </w:r>
      <w:r>
        <w:rPr>
          <w:rFonts w:hint="eastAsia" w:ascii="Times New Roman" w:hAnsi="Times New Roman" w:eastAsia="仿宋_GB2312"/>
          <w:sz w:val="32"/>
          <w:szCs w:val="32"/>
        </w:rPr>
        <w:t>（</w:t>
      </w:r>
      <w:r>
        <w:rPr>
          <w:rFonts w:ascii="Times New Roman" w:hAnsi="Times New Roman" w:eastAsia="仿宋_GB2312"/>
          <w:sz w:val="32"/>
          <w:szCs w:val="32"/>
        </w:rPr>
        <w:t>直属党支部</w:t>
      </w:r>
      <w:r>
        <w:rPr>
          <w:rFonts w:hint="eastAsia" w:ascii="Times New Roman" w:hAnsi="Times New Roman" w:eastAsia="仿宋_GB2312"/>
          <w:sz w:val="32"/>
          <w:szCs w:val="32"/>
        </w:rPr>
        <w:t>）</w:t>
      </w:r>
      <w:r>
        <w:rPr>
          <w:rFonts w:ascii="Times New Roman" w:hAnsi="Times New Roman" w:eastAsia="仿宋_GB2312"/>
          <w:sz w:val="32"/>
          <w:szCs w:val="32"/>
        </w:rPr>
        <w:t>运用“第一种形态”处置情况汇总表》，按照干部管理权限报党政办和纪检委员。实施诫勉谈话的，应当及时报备。</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第十五条 </w:t>
      </w:r>
      <w:r>
        <w:rPr>
          <w:rFonts w:ascii="Times New Roman" w:hAnsi="Times New Roman" w:eastAsia="仿宋_GB2312"/>
          <w:sz w:val="32"/>
          <w:szCs w:val="32"/>
        </w:rPr>
        <w:t xml:space="preserve"> </w:t>
      </w:r>
      <w:r>
        <w:rPr>
          <w:rFonts w:hint="eastAsia" w:ascii="Times New Roman" w:hAnsi="Times New Roman" w:eastAsia="仿宋_GB2312"/>
          <w:sz w:val="32"/>
          <w:szCs w:val="32"/>
        </w:rPr>
        <w:t>各级</w:t>
      </w:r>
      <w:r>
        <w:rPr>
          <w:rFonts w:ascii="Times New Roman" w:hAnsi="Times New Roman" w:eastAsia="仿宋_GB2312"/>
          <w:sz w:val="32"/>
          <w:szCs w:val="32"/>
        </w:rPr>
        <w:t>干部对需要说明的问题、需要整改的事项，应当端正态度、实事求是，有则改之、无则加勉，正视问题、改正错误，不得隐瞒、编造、歪曲事实和回避问题，不得追查反映问题的人员，不得打击报复。</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第十六条 </w:t>
      </w:r>
      <w:r>
        <w:rPr>
          <w:rFonts w:ascii="Times New Roman" w:hAnsi="Times New Roman" w:eastAsia="仿宋_GB2312"/>
          <w:sz w:val="32"/>
          <w:szCs w:val="32"/>
        </w:rPr>
        <w:t xml:space="preserve"> 各党总支、直属党支部书记应当与领导班子其他成员、中层干部经常性谈心谈话，做好思想政治工作，发现有苗头性、倾向性问题的，及时运用“第一种形态”进行提醒谈话、批评教育。</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领导班子成员发现班子主要负责人或者其他班子成员存在苗头性、倾向性问题的，应当及时向其提出，必要时可以直接向上级党组织报告。</w:t>
      </w:r>
    </w:p>
    <w:p>
      <w:pPr>
        <w:spacing w:line="600" w:lineRule="exact"/>
        <w:ind w:firstLine="640" w:firstLineChars="200"/>
        <w:rPr>
          <w:rFonts w:ascii="Times New Roman" w:hAnsi="Times New Roman" w:eastAsia="仿宋_GB2312"/>
          <w:sz w:val="32"/>
          <w:szCs w:val="32"/>
        </w:rPr>
      </w:pPr>
      <w:r>
        <w:rPr>
          <w:rFonts w:ascii="Times New Roman" w:hAnsi="Times New Roman" w:eastAsia="黑体"/>
          <w:sz w:val="32"/>
          <w:szCs w:val="32"/>
        </w:rPr>
        <w:t>第十七条</w:t>
      </w:r>
      <w:r>
        <w:rPr>
          <w:rFonts w:ascii="Times New Roman" w:hAnsi="Times New Roman" w:eastAsia="仿宋_GB2312"/>
          <w:sz w:val="32"/>
          <w:szCs w:val="32"/>
        </w:rPr>
        <w:t xml:space="preserve">  各党总支、直属党支部书运用“第一种形态”，发现领导干部涉嫌违规违纪问题线索，应当及时移交学校纪委或者相关部门依规依纪处理。</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第十八条 </w:t>
      </w:r>
      <w:r>
        <w:rPr>
          <w:rFonts w:ascii="Times New Roman" w:hAnsi="Times New Roman" w:eastAsia="仿宋_GB2312"/>
          <w:sz w:val="32"/>
          <w:szCs w:val="32"/>
        </w:rPr>
        <w:t xml:space="preserve"> </w:t>
      </w:r>
      <w:r>
        <w:rPr>
          <w:rFonts w:hint="eastAsia" w:ascii="Times New Roman" w:hAnsi="Times New Roman" w:eastAsia="仿宋_GB2312"/>
          <w:sz w:val="32"/>
          <w:szCs w:val="32"/>
        </w:rPr>
        <w:t>纪检委员</w:t>
      </w:r>
      <w:r>
        <w:rPr>
          <w:rFonts w:ascii="Times New Roman" w:hAnsi="Times New Roman" w:eastAsia="仿宋_GB2312"/>
          <w:sz w:val="32"/>
          <w:szCs w:val="32"/>
        </w:rPr>
        <w:t>、</w:t>
      </w:r>
      <w:r>
        <w:rPr>
          <w:rFonts w:hint="eastAsia" w:ascii="Times New Roman" w:hAnsi="Times New Roman" w:eastAsia="仿宋_GB2312"/>
          <w:sz w:val="32"/>
          <w:szCs w:val="32"/>
        </w:rPr>
        <w:t>党政</w:t>
      </w:r>
      <w:r>
        <w:rPr>
          <w:rFonts w:ascii="Times New Roman" w:hAnsi="Times New Roman" w:eastAsia="仿宋_GB2312"/>
          <w:sz w:val="32"/>
          <w:szCs w:val="32"/>
        </w:rPr>
        <w:t>办等在监督工作中发现有需要提请各党总支、直属党支部运用“第一种形态”的，应当按程序报请党总支、直属党支部书记审批后进行。必要时相关单位可派员参加。</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第十九条 </w:t>
      </w:r>
      <w:r>
        <w:rPr>
          <w:rFonts w:ascii="Times New Roman" w:hAnsi="Times New Roman" w:eastAsia="仿宋_GB2312"/>
          <w:sz w:val="32"/>
          <w:szCs w:val="32"/>
        </w:rPr>
        <w:t xml:space="preserve"> 校纪委、监察专员办对领导干部开展谈话函询的，应当及时向其所在党总支、直属党支部主要负责人通报情况，一般不通报具体事由，并委托</w:t>
      </w:r>
      <w:r>
        <w:rPr>
          <w:rFonts w:hint="eastAsia" w:ascii="Times New Roman" w:hAnsi="Times New Roman" w:eastAsia="仿宋_GB2312"/>
          <w:sz w:val="32"/>
          <w:szCs w:val="32"/>
        </w:rPr>
        <w:t>机关</w:t>
      </w:r>
      <w:r>
        <w:rPr>
          <w:rFonts w:ascii="Times New Roman" w:hAnsi="Times New Roman" w:eastAsia="仿宋_GB2312"/>
          <w:sz w:val="32"/>
          <w:szCs w:val="32"/>
        </w:rPr>
        <w:t>党委、党总支、直属党支部主要负责人及时提醒谈话、批评教育，督促其严肃认真对待，及时主动整改。当事人应当在领导班子成员年度民主生活会（组织生活会）上如实说明情况，接受监督与批评。</w:t>
      </w:r>
    </w:p>
    <w:p>
      <w:pPr>
        <w:spacing w:line="600" w:lineRule="exact"/>
        <w:ind w:firstLine="616" w:firstLineChars="200"/>
        <w:rPr>
          <w:rFonts w:ascii="Times New Roman" w:hAnsi="Times New Roman" w:eastAsia="仿宋_GB2312"/>
          <w:spacing w:val="-6"/>
          <w:sz w:val="32"/>
          <w:szCs w:val="32"/>
        </w:rPr>
      </w:pPr>
      <w:r>
        <w:rPr>
          <w:rFonts w:ascii="Times New Roman" w:hAnsi="Times New Roman" w:eastAsia="仿宋_GB2312"/>
          <w:spacing w:val="-6"/>
          <w:sz w:val="32"/>
          <w:szCs w:val="32"/>
        </w:rPr>
        <w:t>谈话函询材料送校纪委、监察专员办，存入干部个人廉政档案。</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第二十条  </w:t>
      </w:r>
      <w:r>
        <w:rPr>
          <w:rFonts w:hint="eastAsia" w:ascii="Times New Roman" w:hAnsi="Times New Roman" w:eastAsia="仿宋_GB2312"/>
          <w:sz w:val="32"/>
          <w:szCs w:val="32"/>
        </w:rPr>
        <w:t>机关</w:t>
      </w:r>
      <w:r>
        <w:rPr>
          <w:rFonts w:ascii="Times New Roman" w:hAnsi="Times New Roman" w:eastAsia="仿宋_GB2312"/>
          <w:sz w:val="32"/>
          <w:szCs w:val="32"/>
        </w:rPr>
        <w:t>党委、</w:t>
      </w:r>
      <w:r>
        <w:rPr>
          <w:rFonts w:hint="eastAsia" w:ascii="Times New Roman" w:hAnsi="Times New Roman" w:eastAsia="仿宋_GB2312"/>
          <w:sz w:val="32"/>
          <w:szCs w:val="32"/>
        </w:rPr>
        <w:t>各</w:t>
      </w:r>
      <w:r>
        <w:rPr>
          <w:rFonts w:ascii="Times New Roman" w:hAnsi="Times New Roman" w:eastAsia="仿宋_GB2312"/>
          <w:sz w:val="32"/>
          <w:szCs w:val="32"/>
        </w:rPr>
        <w:t>党总支、直属党支部运用“第一种形态”情况纳入全面从严治党主体责任报告、</w:t>
      </w:r>
      <w:r>
        <w:rPr>
          <w:rFonts w:hint="eastAsia" w:ascii="Times New Roman" w:hAnsi="Times New Roman" w:eastAsia="仿宋_GB2312"/>
          <w:sz w:val="32"/>
          <w:szCs w:val="32"/>
        </w:rPr>
        <w:t>机关</w:t>
      </w:r>
      <w:r>
        <w:rPr>
          <w:rFonts w:ascii="Times New Roman" w:hAnsi="Times New Roman" w:eastAsia="仿宋_GB2312"/>
          <w:sz w:val="32"/>
          <w:szCs w:val="32"/>
        </w:rPr>
        <w:t>党委、</w:t>
      </w:r>
      <w:r>
        <w:rPr>
          <w:rFonts w:hint="eastAsia" w:ascii="Times New Roman" w:hAnsi="Times New Roman" w:eastAsia="仿宋_GB2312"/>
          <w:sz w:val="32"/>
          <w:szCs w:val="32"/>
        </w:rPr>
        <w:t>各</w:t>
      </w:r>
      <w:r>
        <w:rPr>
          <w:rFonts w:ascii="Times New Roman" w:hAnsi="Times New Roman" w:eastAsia="仿宋_GB2312"/>
          <w:sz w:val="32"/>
          <w:szCs w:val="32"/>
        </w:rPr>
        <w:t>党总支、直属党支部述责述廉报告</w:t>
      </w:r>
      <w:r>
        <w:rPr>
          <w:rFonts w:hint="eastAsia" w:ascii="Times New Roman" w:hAnsi="Times New Roman" w:eastAsia="仿宋_GB2312"/>
          <w:sz w:val="32"/>
          <w:szCs w:val="32"/>
        </w:rPr>
        <w:t>、</w:t>
      </w:r>
      <w:r>
        <w:rPr>
          <w:rFonts w:ascii="Times New Roman" w:hAnsi="Times New Roman" w:eastAsia="仿宋_GB2312"/>
          <w:sz w:val="32"/>
          <w:szCs w:val="32"/>
        </w:rPr>
        <w:t>全面从严治党主体责任考核重点内容。考核结果作为对领导班子总体评价、领导干部业绩评定和选拔任用的重要依据。</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学校党委</w:t>
      </w:r>
      <w:r>
        <w:rPr>
          <w:rFonts w:hint="eastAsia" w:ascii="Times New Roman" w:hAnsi="Times New Roman" w:eastAsia="仿宋_GB2312"/>
          <w:sz w:val="32"/>
          <w:szCs w:val="32"/>
        </w:rPr>
        <w:t>不定期</w:t>
      </w:r>
      <w:r>
        <w:rPr>
          <w:rFonts w:ascii="Times New Roman" w:hAnsi="Times New Roman" w:eastAsia="仿宋_GB2312"/>
          <w:sz w:val="32"/>
          <w:szCs w:val="32"/>
        </w:rPr>
        <w:t>将按要求对</w:t>
      </w:r>
      <w:r>
        <w:rPr>
          <w:rFonts w:hint="eastAsia" w:ascii="Times New Roman" w:hAnsi="Times New Roman" w:eastAsia="仿宋_GB2312"/>
          <w:sz w:val="32"/>
          <w:szCs w:val="32"/>
        </w:rPr>
        <w:t>机关</w:t>
      </w:r>
      <w:r>
        <w:rPr>
          <w:rFonts w:ascii="Times New Roman" w:hAnsi="Times New Roman" w:eastAsia="仿宋_GB2312"/>
          <w:sz w:val="32"/>
          <w:szCs w:val="32"/>
        </w:rPr>
        <w:t>党委、</w:t>
      </w:r>
      <w:r>
        <w:rPr>
          <w:rFonts w:hint="eastAsia" w:ascii="Times New Roman" w:hAnsi="Times New Roman" w:eastAsia="仿宋_GB2312"/>
          <w:sz w:val="32"/>
          <w:szCs w:val="32"/>
        </w:rPr>
        <w:t>各</w:t>
      </w:r>
      <w:r>
        <w:rPr>
          <w:rFonts w:ascii="Times New Roman" w:hAnsi="Times New Roman" w:eastAsia="仿宋_GB2312"/>
          <w:sz w:val="32"/>
          <w:szCs w:val="32"/>
        </w:rPr>
        <w:t>党总支、直属党支部运用“第一种形态”情况进行一次监督检查，对认识不到位、运用不主动不经常的，应当及时纠正；对应当发现问题而没有发现，或者弄虚作假，搞形式、走过场的，依规依纪追究相关人员责任。</w:t>
      </w:r>
    </w:p>
    <w:p>
      <w:pPr>
        <w:spacing w:line="600" w:lineRule="exact"/>
        <w:ind w:firstLine="640" w:firstLineChars="200"/>
        <w:jc w:val="left"/>
        <w:rPr>
          <w:rFonts w:ascii="Times New Roman" w:hAnsi="Times New Roman" w:eastAsia="仿宋_GB2312"/>
          <w:sz w:val="32"/>
          <w:szCs w:val="32"/>
        </w:rPr>
      </w:pPr>
      <w:r>
        <w:rPr>
          <w:rFonts w:ascii="Times New Roman" w:hAnsi="Times New Roman" w:eastAsia="黑体"/>
          <w:sz w:val="32"/>
          <w:szCs w:val="32"/>
        </w:rPr>
        <w:t xml:space="preserve">第二十一条  </w:t>
      </w:r>
      <w:r>
        <w:rPr>
          <w:rFonts w:ascii="Times New Roman" w:hAnsi="Times New Roman" w:eastAsia="仿宋_GB2312"/>
          <w:sz w:val="32"/>
          <w:szCs w:val="32"/>
        </w:rPr>
        <w:t>各基层纪委应当将本单位运用“第一种形态”情况纳入</w:t>
      </w:r>
      <w:r>
        <w:rPr>
          <w:rFonts w:hint="eastAsia" w:ascii="Times New Roman" w:hAnsi="Times New Roman" w:eastAsia="仿宋_GB2312"/>
          <w:sz w:val="32"/>
          <w:szCs w:val="32"/>
        </w:rPr>
        <w:t>机关</w:t>
      </w:r>
      <w:r>
        <w:rPr>
          <w:rFonts w:ascii="Times New Roman" w:hAnsi="Times New Roman" w:eastAsia="仿宋_GB2312"/>
          <w:sz w:val="32"/>
          <w:szCs w:val="32"/>
        </w:rPr>
        <w:t>党委、党总支、直属党支部书记向学校纪委全会述责述廉报告内容，作为分析研判本单位政治生态状况的重要参考，并通过调研、检查、考核等方式，重点了解责任落实、程序审批、跟踪问效以及报备等情况，监督推动各党总支、直属党支部常态化、规范化运用“第一种形态”。</w:t>
      </w:r>
    </w:p>
    <w:p>
      <w:pPr>
        <w:spacing w:line="600" w:lineRule="exact"/>
        <w:ind w:firstLine="640" w:firstLineChars="200"/>
        <w:rPr>
          <w:rFonts w:ascii="Times New Roman" w:hAnsi="Times New Roman" w:eastAsia="仿宋_GB2312"/>
          <w:sz w:val="32"/>
          <w:szCs w:val="32"/>
        </w:rPr>
      </w:pPr>
      <w:r>
        <w:rPr>
          <w:rFonts w:ascii="Times New Roman" w:hAnsi="Times New Roman" w:eastAsia="黑体"/>
          <w:sz w:val="32"/>
          <w:szCs w:val="32"/>
        </w:rPr>
        <w:t xml:space="preserve">第二十二条 </w:t>
      </w:r>
      <w:r>
        <w:rPr>
          <w:rFonts w:ascii="Times New Roman" w:hAnsi="Times New Roman" w:eastAsia="仿宋_GB2312"/>
          <w:sz w:val="32"/>
          <w:szCs w:val="32"/>
        </w:rPr>
        <w:t xml:space="preserve"> </w:t>
      </w:r>
      <w:r>
        <w:rPr>
          <w:rFonts w:ascii="Times New Roman" w:hAnsi="Times New Roman" w:eastAsia="仿宋_GB2312"/>
          <w:spacing w:val="-17"/>
          <w:sz w:val="32"/>
          <w:szCs w:val="32"/>
        </w:rPr>
        <w:t>本办法具体解释工作由校纪委、监察专员办承担。</w:t>
      </w:r>
    </w:p>
    <w:p>
      <w:pPr>
        <w:spacing w:line="600" w:lineRule="exact"/>
        <w:ind w:firstLine="640" w:firstLineChars="200"/>
        <w:rPr>
          <w:rFonts w:ascii="Times New Roman" w:hAnsi="Times New Roman" w:eastAsia="仿宋_GB2312"/>
          <w:sz w:val="32"/>
          <w:szCs w:val="32"/>
        </w:rPr>
      </w:pPr>
      <w:r>
        <w:rPr>
          <w:rFonts w:ascii="Times New Roman" w:hAnsi="Times New Roman" w:eastAsia="黑体"/>
          <w:sz w:val="32"/>
          <w:szCs w:val="32"/>
        </w:rPr>
        <w:t>第二十三条</w:t>
      </w:r>
      <w:r>
        <w:rPr>
          <w:rFonts w:ascii="Times New Roman" w:hAnsi="Times New Roman" w:eastAsia="仿宋_GB2312"/>
          <w:sz w:val="32"/>
          <w:szCs w:val="32"/>
        </w:rPr>
        <w:t xml:space="preserve">  本办法自发布之日起实施。</w:t>
      </w:r>
    </w:p>
    <w:p>
      <w:pPr>
        <w:spacing w:line="600" w:lineRule="exact"/>
        <w:rPr>
          <w:rFonts w:ascii="Times New Roman" w:hAnsi="Times New Roman" w:eastAsia="仿宋_GB2312"/>
          <w:sz w:val="32"/>
          <w:szCs w:val="32"/>
        </w:rPr>
      </w:pPr>
    </w:p>
    <w:p>
      <w:pPr>
        <w:spacing w:line="600" w:lineRule="exact"/>
        <w:ind w:left="1918" w:leftChars="304" w:hanging="1280" w:hangingChars="400"/>
        <w:rPr>
          <w:rFonts w:ascii="Times New Roman" w:hAnsi="Times New Roman" w:eastAsia="仿宋_GB2312"/>
          <w:spacing w:val="-20"/>
          <w:sz w:val="32"/>
          <w:szCs w:val="32"/>
        </w:rPr>
      </w:pPr>
      <w:r>
        <w:rPr>
          <w:rFonts w:ascii="Times New Roman" w:hAnsi="Times New Roman" w:eastAsia="仿宋_GB2312"/>
          <w:sz w:val="32"/>
          <w:szCs w:val="32"/>
        </w:rPr>
        <w:t>附件：</w:t>
      </w:r>
      <w:r>
        <w:rPr>
          <w:rFonts w:ascii="Times New Roman" w:hAnsi="Times New Roman" w:eastAsia="仿宋_GB2312"/>
          <w:spacing w:val="-20"/>
          <w:sz w:val="32"/>
          <w:szCs w:val="32"/>
        </w:rPr>
        <w:t>1.党总支</w:t>
      </w:r>
      <w:r>
        <w:rPr>
          <w:rFonts w:hint="eastAsia" w:ascii="Times New Roman" w:hAnsi="Times New Roman" w:eastAsia="仿宋_GB2312"/>
          <w:spacing w:val="-20"/>
          <w:sz w:val="32"/>
          <w:szCs w:val="32"/>
        </w:rPr>
        <w:t>（</w:t>
      </w:r>
      <w:r>
        <w:rPr>
          <w:rFonts w:ascii="Times New Roman" w:hAnsi="Times New Roman" w:eastAsia="仿宋_GB2312"/>
          <w:spacing w:val="-20"/>
          <w:sz w:val="32"/>
          <w:szCs w:val="32"/>
        </w:rPr>
        <w:t>直属党支部</w:t>
      </w:r>
      <w:r>
        <w:rPr>
          <w:rFonts w:hint="eastAsia" w:ascii="Times New Roman" w:hAnsi="Times New Roman" w:eastAsia="仿宋_GB2312"/>
          <w:spacing w:val="-20"/>
          <w:sz w:val="32"/>
          <w:szCs w:val="32"/>
        </w:rPr>
        <w:t>）</w:t>
      </w:r>
      <w:r>
        <w:rPr>
          <w:rFonts w:ascii="Times New Roman" w:hAnsi="Times New Roman" w:eastAsia="仿宋_GB2312"/>
          <w:spacing w:val="-20"/>
          <w:sz w:val="32"/>
          <w:szCs w:val="32"/>
        </w:rPr>
        <w:t>运用“第一种形态”处置备案表</w:t>
      </w:r>
    </w:p>
    <w:p>
      <w:pPr>
        <w:spacing w:line="600" w:lineRule="exact"/>
        <w:ind w:left="1876" w:leftChars="760" w:hanging="280" w:hangingChars="100"/>
        <w:rPr>
          <w:rFonts w:ascii="Times New Roman" w:hAnsi="Times New Roman" w:eastAsia="仿宋_GB2312"/>
          <w:spacing w:val="-20"/>
          <w:sz w:val="32"/>
          <w:szCs w:val="32"/>
        </w:rPr>
      </w:pPr>
      <w:r>
        <w:rPr>
          <w:rFonts w:ascii="Times New Roman" w:hAnsi="Times New Roman" w:eastAsia="仿宋_GB2312"/>
          <w:spacing w:val="-20"/>
          <w:sz w:val="32"/>
          <w:szCs w:val="32"/>
        </w:rPr>
        <w:t>2.党总支</w:t>
      </w:r>
      <w:r>
        <w:rPr>
          <w:rFonts w:hint="eastAsia" w:ascii="Times New Roman" w:hAnsi="Times New Roman" w:eastAsia="仿宋_GB2312"/>
          <w:spacing w:val="-20"/>
          <w:sz w:val="32"/>
          <w:szCs w:val="32"/>
        </w:rPr>
        <w:t>（</w:t>
      </w:r>
      <w:r>
        <w:rPr>
          <w:rFonts w:ascii="Times New Roman" w:hAnsi="Times New Roman" w:eastAsia="仿宋_GB2312"/>
          <w:spacing w:val="-20"/>
          <w:sz w:val="32"/>
          <w:szCs w:val="32"/>
        </w:rPr>
        <w:t>直属党支部</w:t>
      </w:r>
      <w:r>
        <w:rPr>
          <w:rFonts w:hint="eastAsia" w:ascii="Times New Roman" w:hAnsi="Times New Roman" w:eastAsia="仿宋_GB2312"/>
          <w:spacing w:val="-20"/>
          <w:sz w:val="32"/>
          <w:szCs w:val="32"/>
        </w:rPr>
        <w:t>）</w:t>
      </w:r>
      <w:r>
        <w:rPr>
          <w:rFonts w:ascii="Times New Roman" w:hAnsi="Times New Roman" w:eastAsia="仿宋_GB2312"/>
          <w:spacing w:val="-20"/>
          <w:sz w:val="32"/>
          <w:szCs w:val="32"/>
        </w:rPr>
        <w:t>运用“第一种形态”处置情况汇总表</w:t>
      </w:r>
    </w:p>
    <w:p>
      <w:pPr>
        <w:spacing w:line="600" w:lineRule="exact"/>
        <w:jc w:val="left"/>
        <w:rPr>
          <w:rFonts w:ascii="Times New Roman" w:hAnsi="Times New Roman" w:eastAsia="黑体"/>
          <w:sz w:val="32"/>
          <w:szCs w:val="32"/>
        </w:rPr>
      </w:pPr>
    </w:p>
    <w:p>
      <w:pPr>
        <w:pStyle w:val="10"/>
        <w:rPr>
          <w:rFonts w:ascii="Times New Roman" w:hAnsi="Times New Roman" w:eastAsia="黑体"/>
          <w:sz w:val="32"/>
          <w:szCs w:val="32"/>
        </w:rPr>
      </w:pPr>
    </w:p>
    <w:p>
      <w:pPr>
        <w:pStyle w:val="10"/>
        <w:rPr>
          <w:rFonts w:ascii="Times New Roman" w:hAnsi="Times New Roman" w:eastAsia="黑体"/>
          <w:sz w:val="32"/>
          <w:szCs w:val="32"/>
        </w:rPr>
      </w:pPr>
    </w:p>
    <w:p>
      <w:pPr>
        <w:spacing w:line="600" w:lineRule="exact"/>
        <w:jc w:val="left"/>
        <w:rPr>
          <w:rFonts w:ascii="Times New Roman" w:hAnsi="Times New Roman" w:eastAsia="黑体"/>
          <w:sz w:val="32"/>
          <w:szCs w:val="32"/>
        </w:rPr>
      </w:pPr>
    </w:p>
    <w:p>
      <w:pPr>
        <w:spacing w:line="600" w:lineRule="exact"/>
        <w:jc w:val="left"/>
        <w:rPr>
          <w:rFonts w:ascii="Times New Roman" w:hAnsi="Times New Roman" w:eastAsia="黑体"/>
          <w:sz w:val="32"/>
          <w:szCs w:val="32"/>
        </w:rPr>
      </w:pPr>
      <w:bookmarkStart w:id="0" w:name="_GoBack"/>
      <w:bookmarkEnd w:id="0"/>
      <w:r>
        <w:rPr>
          <w:rFonts w:ascii="Times New Roman" w:hAnsi="Times New Roman" w:eastAsia="黑体"/>
          <w:sz w:val="32"/>
          <w:szCs w:val="32"/>
        </w:rPr>
        <w:t>附件1</w:t>
      </w:r>
    </w:p>
    <w:p>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u w:val="single"/>
        </w:rPr>
        <w:t xml:space="preserve">             </w:t>
      </w:r>
      <w:r>
        <w:rPr>
          <w:rFonts w:ascii="Times New Roman" w:hAnsi="Times New Roman" w:eastAsia="方正小标宋简体"/>
          <w:sz w:val="44"/>
          <w:szCs w:val="44"/>
        </w:rPr>
        <w:t>党总支</w:t>
      </w:r>
      <w:r>
        <w:rPr>
          <w:rFonts w:hint="eastAsia" w:ascii="Times New Roman" w:hAnsi="Times New Roman" w:eastAsia="方正小标宋简体"/>
          <w:sz w:val="44"/>
          <w:szCs w:val="44"/>
        </w:rPr>
        <w:t>（</w:t>
      </w:r>
      <w:r>
        <w:rPr>
          <w:rFonts w:ascii="Times New Roman" w:hAnsi="Times New Roman" w:eastAsia="方正小标宋简体"/>
          <w:sz w:val="44"/>
          <w:szCs w:val="44"/>
        </w:rPr>
        <w:t>直属党支部</w:t>
      </w:r>
      <w:r>
        <w:rPr>
          <w:rFonts w:hint="eastAsia" w:ascii="Times New Roman" w:hAnsi="Times New Roman" w:eastAsia="方正小标宋简体"/>
          <w:sz w:val="44"/>
          <w:szCs w:val="44"/>
        </w:rPr>
        <w:t>）</w:t>
      </w:r>
      <w:r>
        <w:rPr>
          <w:rFonts w:ascii="Times New Roman" w:hAnsi="Times New Roman" w:eastAsia="方正小标宋简体"/>
          <w:sz w:val="44"/>
          <w:szCs w:val="44"/>
        </w:rPr>
        <w:t>运用</w:t>
      </w:r>
    </w:p>
    <w:p>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“第一种形态”处置备案表</w:t>
      </w:r>
    </w:p>
    <w:p>
      <w:pPr>
        <w:spacing w:line="600" w:lineRule="exact"/>
        <w:jc w:val="left"/>
        <w:rPr>
          <w:rFonts w:ascii="Times New Roman" w:hAnsi="Times New Roman" w:eastAsia="仿宋_GB2312"/>
          <w:sz w:val="32"/>
          <w:szCs w:val="32"/>
        </w:rPr>
      </w:pPr>
      <w:r>
        <w:rPr>
          <w:rFonts w:ascii="Times New Roman" w:hAnsi="Times New Roman" w:eastAsia="仿宋_GB2312"/>
          <w:sz w:val="32"/>
          <w:szCs w:val="32"/>
        </w:rPr>
        <w:t>编号：20××—××号                   签字：</w:t>
      </w:r>
    </w:p>
    <w:tbl>
      <w:tblPr>
        <w:tblStyle w:val="7"/>
        <w:tblpPr w:leftFromText="180" w:rightFromText="180" w:vertAnchor="text" w:horzAnchor="page" w:tblpX="1523" w:tblpY="27"/>
        <w:tblOverlap w:val="never"/>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6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835" w:type="dxa"/>
            <w:vAlign w:val="center"/>
          </w:tcPr>
          <w:p>
            <w:pPr>
              <w:spacing w:line="600" w:lineRule="exact"/>
              <w:jc w:val="center"/>
              <w:rPr>
                <w:rFonts w:ascii="宋体" w:hAnsi="宋体"/>
                <w:sz w:val="32"/>
                <w:szCs w:val="32"/>
              </w:rPr>
            </w:pPr>
            <w:r>
              <w:rPr>
                <w:rFonts w:ascii="宋体" w:hAnsi="宋体"/>
                <w:sz w:val="32"/>
                <w:szCs w:val="32"/>
              </w:rPr>
              <w:t>时    间</w:t>
            </w:r>
          </w:p>
        </w:tc>
        <w:tc>
          <w:tcPr>
            <w:tcW w:w="6225" w:type="dxa"/>
            <w:vAlign w:val="center"/>
          </w:tcPr>
          <w:p>
            <w:pPr>
              <w:spacing w:line="600" w:lineRule="exact"/>
              <w:jc w:val="center"/>
              <w:rPr>
                <w:rFonts w:ascii="宋体" w:hAnsi="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835" w:type="dxa"/>
            <w:vAlign w:val="center"/>
          </w:tcPr>
          <w:p>
            <w:pPr>
              <w:spacing w:line="600" w:lineRule="exact"/>
              <w:jc w:val="center"/>
              <w:rPr>
                <w:rFonts w:ascii="宋体" w:hAnsi="宋体"/>
                <w:sz w:val="32"/>
                <w:szCs w:val="32"/>
              </w:rPr>
            </w:pPr>
            <w:r>
              <w:rPr>
                <w:rFonts w:ascii="宋体" w:hAnsi="宋体"/>
                <w:sz w:val="32"/>
                <w:szCs w:val="32"/>
              </w:rPr>
              <w:t>地    点</w:t>
            </w:r>
          </w:p>
        </w:tc>
        <w:tc>
          <w:tcPr>
            <w:tcW w:w="6225" w:type="dxa"/>
            <w:vAlign w:val="center"/>
          </w:tcPr>
          <w:p>
            <w:pPr>
              <w:spacing w:line="600" w:lineRule="exact"/>
              <w:jc w:val="center"/>
              <w:rPr>
                <w:rFonts w:ascii="宋体" w:hAnsi="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835" w:type="dxa"/>
            <w:vAlign w:val="center"/>
          </w:tcPr>
          <w:p>
            <w:pPr>
              <w:spacing w:line="600" w:lineRule="exact"/>
              <w:jc w:val="center"/>
              <w:rPr>
                <w:rFonts w:ascii="宋体" w:hAnsi="宋体"/>
                <w:sz w:val="32"/>
                <w:szCs w:val="32"/>
              </w:rPr>
            </w:pPr>
            <w:r>
              <w:rPr>
                <w:rFonts w:ascii="宋体" w:hAnsi="宋体"/>
                <w:sz w:val="32"/>
                <w:szCs w:val="32"/>
              </w:rPr>
              <w:t>处置方式</w:t>
            </w:r>
          </w:p>
        </w:tc>
        <w:tc>
          <w:tcPr>
            <w:tcW w:w="6225" w:type="dxa"/>
            <w:vAlign w:val="center"/>
          </w:tcPr>
          <w:p>
            <w:pPr>
              <w:spacing w:line="600" w:lineRule="exact"/>
              <w:jc w:val="center"/>
              <w:rPr>
                <w:rFonts w:ascii="宋体" w:hAnsi="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exact"/>
        </w:trPr>
        <w:tc>
          <w:tcPr>
            <w:tcW w:w="2835" w:type="dxa"/>
            <w:vAlign w:val="center"/>
          </w:tcPr>
          <w:p>
            <w:pPr>
              <w:spacing w:line="600" w:lineRule="exact"/>
              <w:jc w:val="center"/>
              <w:rPr>
                <w:rFonts w:ascii="宋体" w:hAnsi="宋体"/>
                <w:sz w:val="32"/>
                <w:szCs w:val="32"/>
              </w:rPr>
            </w:pPr>
            <w:r>
              <w:rPr>
                <w:rFonts w:ascii="宋体" w:hAnsi="宋体"/>
                <w:sz w:val="32"/>
                <w:szCs w:val="32"/>
              </w:rPr>
              <w:t>主谈话人</w:t>
            </w:r>
          </w:p>
          <w:p>
            <w:pPr>
              <w:spacing w:line="600" w:lineRule="exact"/>
              <w:jc w:val="center"/>
              <w:rPr>
                <w:rFonts w:ascii="宋体" w:hAnsi="宋体"/>
                <w:sz w:val="32"/>
                <w:szCs w:val="32"/>
              </w:rPr>
            </w:pPr>
            <w:r>
              <w:rPr>
                <w:rFonts w:ascii="宋体" w:hAnsi="宋体"/>
                <w:sz w:val="32"/>
                <w:szCs w:val="32"/>
              </w:rPr>
              <w:t>（或单位）</w:t>
            </w:r>
          </w:p>
        </w:tc>
        <w:tc>
          <w:tcPr>
            <w:tcW w:w="6225" w:type="dxa"/>
            <w:vAlign w:val="center"/>
          </w:tcPr>
          <w:p>
            <w:pPr>
              <w:spacing w:line="600" w:lineRule="exact"/>
              <w:jc w:val="center"/>
              <w:rPr>
                <w:rFonts w:ascii="宋体" w:hAnsi="宋体"/>
                <w:sz w:val="32"/>
                <w:szCs w:val="32"/>
              </w:rPr>
            </w:pPr>
            <w:r>
              <w:rPr>
                <w:rFonts w:ascii="宋体" w:hAnsi="宋体"/>
                <w:sz w:val="32"/>
                <w:szCs w:val="32"/>
              </w:rPr>
              <w:t>（姓名、职务）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835" w:type="dxa"/>
            <w:vAlign w:val="center"/>
          </w:tcPr>
          <w:p>
            <w:pPr>
              <w:spacing w:line="600" w:lineRule="exact"/>
              <w:jc w:val="center"/>
              <w:rPr>
                <w:rFonts w:ascii="宋体" w:hAnsi="宋体"/>
                <w:sz w:val="32"/>
                <w:szCs w:val="32"/>
              </w:rPr>
            </w:pPr>
            <w:r>
              <w:rPr>
                <w:rFonts w:ascii="宋体" w:hAnsi="宋体"/>
                <w:sz w:val="32"/>
                <w:szCs w:val="32"/>
              </w:rPr>
              <w:t>记 录 人</w:t>
            </w:r>
          </w:p>
        </w:tc>
        <w:tc>
          <w:tcPr>
            <w:tcW w:w="6225" w:type="dxa"/>
            <w:vAlign w:val="center"/>
          </w:tcPr>
          <w:p>
            <w:pPr>
              <w:spacing w:line="600" w:lineRule="exact"/>
              <w:jc w:val="center"/>
              <w:rPr>
                <w:rFonts w:ascii="宋体" w:hAnsi="宋体"/>
                <w:sz w:val="32"/>
                <w:szCs w:val="32"/>
              </w:rPr>
            </w:pPr>
            <w:r>
              <w:rPr>
                <w:rFonts w:ascii="宋体" w:hAnsi="宋体"/>
                <w:sz w:val="32"/>
                <w:szCs w:val="32"/>
              </w:rPr>
              <w:t>（姓名、职务）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835" w:type="dxa"/>
            <w:vAlign w:val="center"/>
          </w:tcPr>
          <w:p>
            <w:pPr>
              <w:spacing w:line="600" w:lineRule="exact"/>
              <w:jc w:val="center"/>
              <w:rPr>
                <w:rFonts w:ascii="宋体" w:hAnsi="宋体"/>
                <w:sz w:val="32"/>
                <w:szCs w:val="32"/>
              </w:rPr>
            </w:pPr>
            <w:r>
              <w:rPr>
                <w:rFonts w:ascii="宋体" w:hAnsi="宋体"/>
                <w:sz w:val="32"/>
                <w:szCs w:val="32"/>
              </w:rPr>
              <w:t>被谈话人</w:t>
            </w:r>
          </w:p>
        </w:tc>
        <w:tc>
          <w:tcPr>
            <w:tcW w:w="6225" w:type="dxa"/>
            <w:vAlign w:val="center"/>
          </w:tcPr>
          <w:p>
            <w:pPr>
              <w:spacing w:line="600" w:lineRule="exact"/>
              <w:jc w:val="center"/>
              <w:rPr>
                <w:rFonts w:ascii="宋体" w:hAnsi="宋体"/>
                <w:sz w:val="32"/>
                <w:szCs w:val="32"/>
              </w:rPr>
            </w:pPr>
            <w:r>
              <w:rPr>
                <w:rFonts w:ascii="宋体" w:hAnsi="宋体"/>
                <w:sz w:val="32"/>
                <w:szCs w:val="32"/>
              </w:rPr>
              <w:t>（姓名、职务、政治面貌）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exact"/>
        </w:trPr>
        <w:tc>
          <w:tcPr>
            <w:tcW w:w="2835" w:type="dxa"/>
            <w:vAlign w:val="center"/>
          </w:tcPr>
          <w:p>
            <w:pPr>
              <w:spacing w:line="600" w:lineRule="exact"/>
              <w:jc w:val="center"/>
              <w:rPr>
                <w:rFonts w:ascii="宋体" w:hAnsi="宋体"/>
                <w:sz w:val="32"/>
                <w:szCs w:val="32"/>
              </w:rPr>
            </w:pPr>
            <w:r>
              <w:rPr>
                <w:rFonts w:ascii="宋体" w:hAnsi="宋体"/>
                <w:sz w:val="32"/>
                <w:szCs w:val="32"/>
              </w:rPr>
              <w:t>事    由</w:t>
            </w:r>
          </w:p>
        </w:tc>
        <w:tc>
          <w:tcPr>
            <w:tcW w:w="6225" w:type="dxa"/>
            <w:vAlign w:val="center"/>
          </w:tcPr>
          <w:p>
            <w:pPr>
              <w:spacing w:line="600" w:lineRule="exact"/>
              <w:jc w:val="center"/>
              <w:rPr>
                <w:rFonts w:ascii="宋体" w:hAnsi="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exact"/>
        </w:trPr>
        <w:tc>
          <w:tcPr>
            <w:tcW w:w="2835" w:type="dxa"/>
            <w:vAlign w:val="center"/>
          </w:tcPr>
          <w:p>
            <w:pPr>
              <w:spacing w:line="600" w:lineRule="exact"/>
              <w:jc w:val="center"/>
              <w:rPr>
                <w:rFonts w:ascii="宋体" w:hAnsi="宋体"/>
                <w:sz w:val="32"/>
                <w:szCs w:val="32"/>
              </w:rPr>
            </w:pPr>
            <w:r>
              <w:rPr>
                <w:rFonts w:ascii="宋体" w:hAnsi="宋体"/>
                <w:sz w:val="32"/>
                <w:szCs w:val="32"/>
              </w:rPr>
              <w:t>被谈话人态度</w:t>
            </w:r>
          </w:p>
        </w:tc>
        <w:tc>
          <w:tcPr>
            <w:tcW w:w="6225" w:type="dxa"/>
            <w:vAlign w:val="center"/>
          </w:tcPr>
          <w:p>
            <w:pPr>
              <w:spacing w:line="600" w:lineRule="exact"/>
              <w:jc w:val="center"/>
              <w:rPr>
                <w:rFonts w:ascii="宋体" w:hAnsi="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835" w:type="dxa"/>
            <w:vAlign w:val="center"/>
          </w:tcPr>
          <w:p>
            <w:pPr>
              <w:spacing w:line="600" w:lineRule="exact"/>
              <w:jc w:val="center"/>
              <w:rPr>
                <w:rFonts w:ascii="宋体" w:hAnsi="宋体"/>
                <w:sz w:val="32"/>
                <w:szCs w:val="32"/>
              </w:rPr>
            </w:pPr>
            <w:r>
              <w:rPr>
                <w:rFonts w:ascii="宋体" w:hAnsi="宋体"/>
                <w:sz w:val="32"/>
                <w:szCs w:val="32"/>
              </w:rPr>
              <w:t>备    注</w:t>
            </w:r>
          </w:p>
        </w:tc>
        <w:tc>
          <w:tcPr>
            <w:tcW w:w="6225" w:type="dxa"/>
            <w:vAlign w:val="center"/>
          </w:tcPr>
          <w:p>
            <w:pPr>
              <w:spacing w:line="600" w:lineRule="exact"/>
              <w:jc w:val="center"/>
              <w:rPr>
                <w:rFonts w:ascii="宋体" w:hAnsi="宋体"/>
                <w:sz w:val="32"/>
                <w:szCs w:val="32"/>
              </w:rPr>
            </w:pPr>
          </w:p>
        </w:tc>
      </w:tr>
    </w:tbl>
    <w:p>
      <w:pPr>
        <w:spacing w:line="600" w:lineRule="exact"/>
        <w:jc w:val="right"/>
        <w:rPr>
          <w:rFonts w:ascii="Times New Roman" w:hAnsi="Times New Roman" w:eastAsia="仿宋_GB2312"/>
          <w:sz w:val="32"/>
          <w:szCs w:val="32"/>
        </w:rPr>
        <w:sectPr>
          <w:footerReference r:id="rId3" w:type="default"/>
          <w:footerReference r:id="rId4" w:type="even"/>
          <w:pgSz w:w="11906" w:h="16838"/>
          <w:pgMar w:top="1417" w:right="1531" w:bottom="1417" w:left="1531" w:header="851" w:footer="992" w:gutter="0"/>
          <w:pgNumType w:fmt="numberInDash"/>
          <w:cols w:space="720" w:num="1"/>
          <w:docGrid w:type="lines" w:linePitch="312" w:charSpace="0"/>
        </w:sectPr>
      </w:pPr>
    </w:p>
    <w:p>
      <w:pPr>
        <w:spacing w:line="600" w:lineRule="exact"/>
        <w:jc w:val="left"/>
        <w:rPr>
          <w:rFonts w:ascii="Times New Roman" w:hAnsi="Times New Roman" w:eastAsia="黑体"/>
          <w:sz w:val="32"/>
          <w:szCs w:val="32"/>
        </w:rPr>
      </w:pPr>
      <w:r>
        <w:rPr>
          <w:rFonts w:ascii="Times New Roman" w:hAnsi="Times New Roman" w:eastAsia="黑体"/>
          <w:sz w:val="32"/>
          <w:szCs w:val="32"/>
        </w:rPr>
        <w:t>附件2</w:t>
      </w:r>
    </w:p>
    <w:p>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u w:val="single"/>
        </w:rPr>
        <w:t xml:space="preserve">               </w:t>
      </w:r>
      <w:r>
        <w:rPr>
          <w:rFonts w:ascii="Times New Roman" w:hAnsi="Times New Roman" w:eastAsia="方正小标宋简体"/>
          <w:sz w:val="44"/>
          <w:szCs w:val="44"/>
        </w:rPr>
        <w:t>党总支</w:t>
      </w:r>
      <w:r>
        <w:rPr>
          <w:rFonts w:hint="eastAsia" w:ascii="Times New Roman" w:hAnsi="Times New Roman" w:eastAsia="方正小标宋简体"/>
          <w:sz w:val="44"/>
          <w:szCs w:val="44"/>
        </w:rPr>
        <w:t>（</w:t>
      </w:r>
      <w:r>
        <w:rPr>
          <w:rFonts w:ascii="Times New Roman" w:hAnsi="Times New Roman" w:eastAsia="方正小标宋简体"/>
          <w:sz w:val="44"/>
          <w:szCs w:val="44"/>
        </w:rPr>
        <w:t>直属党支部</w:t>
      </w:r>
      <w:r>
        <w:rPr>
          <w:rFonts w:hint="eastAsia" w:ascii="Times New Roman" w:hAnsi="Times New Roman" w:eastAsia="方正小标宋简体"/>
          <w:sz w:val="44"/>
          <w:szCs w:val="44"/>
        </w:rPr>
        <w:t>）</w:t>
      </w:r>
      <w:r>
        <w:rPr>
          <w:rFonts w:ascii="Times New Roman" w:hAnsi="Times New Roman" w:eastAsia="方正小标宋简体"/>
          <w:sz w:val="44"/>
          <w:szCs w:val="44"/>
        </w:rPr>
        <w:t>运用“第一种形态”</w:t>
      </w:r>
    </w:p>
    <w:p>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处置情况汇总表</w:t>
      </w:r>
    </w:p>
    <w:tbl>
      <w:tblPr>
        <w:tblStyle w:val="7"/>
        <w:tblpPr w:leftFromText="180" w:rightFromText="180" w:vertAnchor="text" w:horzAnchor="page" w:tblpX="2000" w:tblpY="193"/>
        <w:tblOverlap w:val="never"/>
        <w:tblW w:w="134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1620"/>
        <w:gridCol w:w="2494"/>
        <w:gridCol w:w="2494"/>
        <w:gridCol w:w="1984"/>
        <w:gridCol w:w="1984"/>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02" w:type="dxa"/>
            <w:vAlign w:val="center"/>
          </w:tcPr>
          <w:p>
            <w:pPr>
              <w:spacing w:line="600" w:lineRule="exact"/>
              <w:jc w:val="center"/>
              <w:rPr>
                <w:rFonts w:ascii="Times New Roman" w:hAnsi="Times New Roman" w:eastAsia="黑体"/>
                <w:sz w:val="28"/>
                <w:szCs w:val="28"/>
              </w:rPr>
            </w:pPr>
            <w:r>
              <w:rPr>
                <w:rFonts w:ascii="Times New Roman" w:hAnsi="Times New Roman" w:eastAsia="黑体"/>
                <w:sz w:val="28"/>
                <w:szCs w:val="28"/>
              </w:rPr>
              <w:t>序号</w:t>
            </w:r>
          </w:p>
        </w:tc>
        <w:tc>
          <w:tcPr>
            <w:tcW w:w="1620" w:type="dxa"/>
            <w:vAlign w:val="center"/>
          </w:tcPr>
          <w:p>
            <w:pPr>
              <w:spacing w:line="600" w:lineRule="exact"/>
              <w:jc w:val="center"/>
              <w:rPr>
                <w:rFonts w:ascii="Times New Roman" w:hAnsi="Times New Roman" w:eastAsia="黑体"/>
                <w:sz w:val="28"/>
                <w:szCs w:val="28"/>
              </w:rPr>
            </w:pPr>
            <w:r>
              <w:rPr>
                <w:rFonts w:ascii="Times New Roman" w:hAnsi="Times New Roman" w:eastAsia="黑体"/>
                <w:sz w:val="28"/>
                <w:szCs w:val="28"/>
              </w:rPr>
              <w:t>时  间</w:t>
            </w:r>
          </w:p>
        </w:tc>
        <w:tc>
          <w:tcPr>
            <w:tcW w:w="2494" w:type="dxa"/>
            <w:vAlign w:val="center"/>
          </w:tcPr>
          <w:p>
            <w:pPr>
              <w:spacing w:line="600" w:lineRule="exact"/>
              <w:jc w:val="center"/>
              <w:rPr>
                <w:rFonts w:ascii="Times New Roman" w:hAnsi="Times New Roman" w:eastAsia="黑体"/>
                <w:sz w:val="28"/>
                <w:szCs w:val="28"/>
              </w:rPr>
            </w:pPr>
            <w:r>
              <w:rPr>
                <w:rFonts w:ascii="Times New Roman" w:hAnsi="Times New Roman" w:eastAsia="黑体"/>
                <w:sz w:val="28"/>
                <w:szCs w:val="28"/>
              </w:rPr>
              <w:t>主谈话人（或单位）（姓名、职务）</w:t>
            </w:r>
          </w:p>
        </w:tc>
        <w:tc>
          <w:tcPr>
            <w:tcW w:w="2494" w:type="dxa"/>
            <w:vAlign w:val="center"/>
          </w:tcPr>
          <w:p>
            <w:pPr>
              <w:spacing w:line="600" w:lineRule="exact"/>
              <w:jc w:val="center"/>
              <w:rPr>
                <w:rFonts w:ascii="Times New Roman" w:hAnsi="Times New Roman" w:eastAsia="黑体"/>
                <w:sz w:val="28"/>
                <w:szCs w:val="28"/>
              </w:rPr>
            </w:pPr>
            <w:r>
              <w:rPr>
                <w:rFonts w:ascii="Times New Roman" w:hAnsi="Times New Roman" w:eastAsia="黑体"/>
                <w:sz w:val="28"/>
                <w:szCs w:val="28"/>
              </w:rPr>
              <w:t>被谈话人（姓名、职务、政治面貌）</w:t>
            </w:r>
          </w:p>
        </w:tc>
        <w:tc>
          <w:tcPr>
            <w:tcW w:w="1984" w:type="dxa"/>
            <w:vAlign w:val="center"/>
          </w:tcPr>
          <w:p>
            <w:pPr>
              <w:spacing w:line="600" w:lineRule="exact"/>
              <w:jc w:val="center"/>
              <w:rPr>
                <w:rFonts w:ascii="Times New Roman" w:hAnsi="Times New Roman" w:eastAsia="黑体"/>
                <w:sz w:val="28"/>
                <w:szCs w:val="28"/>
              </w:rPr>
            </w:pPr>
            <w:r>
              <w:rPr>
                <w:rFonts w:ascii="Times New Roman" w:hAnsi="Times New Roman" w:eastAsia="黑体"/>
                <w:sz w:val="28"/>
                <w:szCs w:val="28"/>
              </w:rPr>
              <w:t>处置方式</w:t>
            </w:r>
          </w:p>
        </w:tc>
        <w:tc>
          <w:tcPr>
            <w:tcW w:w="1984" w:type="dxa"/>
            <w:vAlign w:val="center"/>
          </w:tcPr>
          <w:p>
            <w:pPr>
              <w:spacing w:line="600" w:lineRule="exact"/>
              <w:jc w:val="center"/>
              <w:rPr>
                <w:rFonts w:ascii="Times New Roman" w:hAnsi="Times New Roman" w:eastAsia="黑体"/>
                <w:sz w:val="28"/>
                <w:szCs w:val="28"/>
              </w:rPr>
            </w:pPr>
            <w:r>
              <w:rPr>
                <w:rFonts w:ascii="Times New Roman" w:hAnsi="Times New Roman" w:eastAsia="黑体"/>
                <w:sz w:val="28"/>
                <w:szCs w:val="28"/>
              </w:rPr>
              <w:t>事  由</w:t>
            </w:r>
          </w:p>
        </w:tc>
        <w:tc>
          <w:tcPr>
            <w:tcW w:w="1984" w:type="dxa"/>
            <w:vAlign w:val="center"/>
          </w:tcPr>
          <w:p>
            <w:pPr>
              <w:spacing w:line="600" w:lineRule="exact"/>
              <w:jc w:val="center"/>
              <w:rPr>
                <w:rFonts w:ascii="Times New Roman" w:hAnsi="Times New Roman" w:eastAsia="黑体"/>
                <w:sz w:val="28"/>
                <w:szCs w:val="28"/>
              </w:rPr>
            </w:pPr>
            <w:r>
              <w:rPr>
                <w:rFonts w:ascii="Times New Roman" w:hAnsi="Times New Roman" w:eastAsia="黑体"/>
                <w:sz w:val="28"/>
                <w:szCs w:val="28"/>
              </w:rPr>
              <w:t>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902" w:type="dxa"/>
            <w:vAlign w:val="top"/>
          </w:tcPr>
          <w:p>
            <w:pPr>
              <w:spacing w:line="600" w:lineRule="exact"/>
              <w:jc w:val="center"/>
              <w:rPr>
                <w:rFonts w:ascii="Times New Roman" w:hAnsi="Times New Roman" w:eastAsia="仿宋_GB2312"/>
                <w:sz w:val="32"/>
                <w:szCs w:val="32"/>
              </w:rPr>
            </w:pPr>
          </w:p>
        </w:tc>
        <w:tc>
          <w:tcPr>
            <w:tcW w:w="1620" w:type="dxa"/>
            <w:vAlign w:val="top"/>
          </w:tcPr>
          <w:p>
            <w:pPr>
              <w:spacing w:line="600" w:lineRule="exact"/>
              <w:jc w:val="center"/>
              <w:rPr>
                <w:rFonts w:ascii="Times New Roman" w:hAnsi="Times New Roman" w:eastAsia="仿宋_GB2312"/>
                <w:sz w:val="32"/>
                <w:szCs w:val="32"/>
              </w:rPr>
            </w:pPr>
          </w:p>
        </w:tc>
        <w:tc>
          <w:tcPr>
            <w:tcW w:w="2494" w:type="dxa"/>
            <w:vAlign w:val="top"/>
          </w:tcPr>
          <w:p>
            <w:pPr>
              <w:spacing w:line="600" w:lineRule="exact"/>
              <w:jc w:val="center"/>
              <w:rPr>
                <w:rFonts w:ascii="Times New Roman" w:hAnsi="Times New Roman" w:eastAsia="仿宋_GB2312"/>
                <w:sz w:val="32"/>
                <w:szCs w:val="32"/>
              </w:rPr>
            </w:pPr>
          </w:p>
        </w:tc>
        <w:tc>
          <w:tcPr>
            <w:tcW w:w="249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902" w:type="dxa"/>
            <w:vAlign w:val="top"/>
          </w:tcPr>
          <w:p>
            <w:pPr>
              <w:spacing w:line="600" w:lineRule="exact"/>
              <w:jc w:val="center"/>
              <w:rPr>
                <w:rFonts w:ascii="Times New Roman" w:hAnsi="Times New Roman" w:eastAsia="仿宋_GB2312"/>
                <w:sz w:val="32"/>
                <w:szCs w:val="32"/>
              </w:rPr>
            </w:pPr>
          </w:p>
        </w:tc>
        <w:tc>
          <w:tcPr>
            <w:tcW w:w="1620" w:type="dxa"/>
            <w:vAlign w:val="top"/>
          </w:tcPr>
          <w:p>
            <w:pPr>
              <w:spacing w:line="600" w:lineRule="exact"/>
              <w:jc w:val="center"/>
              <w:rPr>
                <w:rFonts w:ascii="Times New Roman" w:hAnsi="Times New Roman" w:eastAsia="仿宋_GB2312"/>
                <w:sz w:val="32"/>
                <w:szCs w:val="32"/>
              </w:rPr>
            </w:pPr>
          </w:p>
        </w:tc>
        <w:tc>
          <w:tcPr>
            <w:tcW w:w="2494" w:type="dxa"/>
            <w:vAlign w:val="top"/>
          </w:tcPr>
          <w:p>
            <w:pPr>
              <w:spacing w:line="600" w:lineRule="exact"/>
              <w:jc w:val="center"/>
              <w:rPr>
                <w:rFonts w:ascii="Times New Roman" w:hAnsi="Times New Roman" w:eastAsia="仿宋_GB2312"/>
                <w:sz w:val="32"/>
                <w:szCs w:val="32"/>
              </w:rPr>
            </w:pPr>
          </w:p>
        </w:tc>
        <w:tc>
          <w:tcPr>
            <w:tcW w:w="249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902" w:type="dxa"/>
            <w:vAlign w:val="top"/>
          </w:tcPr>
          <w:p>
            <w:pPr>
              <w:spacing w:line="600" w:lineRule="exact"/>
              <w:jc w:val="center"/>
              <w:rPr>
                <w:rFonts w:ascii="Times New Roman" w:hAnsi="Times New Roman" w:eastAsia="仿宋_GB2312"/>
                <w:sz w:val="32"/>
                <w:szCs w:val="32"/>
              </w:rPr>
            </w:pPr>
          </w:p>
        </w:tc>
        <w:tc>
          <w:tcPr>
            <w:tcW w:w="1620" w:type="dxa"/>
            <w:vAlign w:val="top"/>
          </w:tcPr>
          <w:p>
            <w:pPr>
              <w:spacing w:line="600" w:lineRule="exact"/>
              <w:jc w:val="center"/>
              <w:rPr>
                <w:rFonts w:ascii="Times New Roman" w:hAnsi="Times New Roman" w:eastAsia="仿宋_GB2312"/>
                <w:sz w:val="32"/>
                <w:szCs w:val="32"/>
              </w:rPr>
            </w:pPr>
          </w:p>
        </w:tc>
        <w:tc>
          <w:tcPr>
            <w:tcW w:w="2494" w:type="dxa"/>
            <w:vAlign w:val="top"/>
          </w:tcPr>
          <w:p>
            <w:pPr>
              <w:spacing w:line="600" w:lineRule="exact"/>
              <w:jc w:val="center"/>
              <w:rPr>
                <w:rFonts w:ascii="Times New Roman" w:hAnsi="Times New Roman" w:eastAsia="仿宋_GB2312"/>
                <w:sz w:val="32"/>
                <w:szCs w:val="32"/>
              </w:rPr>
            </w:pPr>
          </w:p>
        </w:tc>
        <w:tc>
          <w:tcPr>
            <w:tcW w:w="249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902" w:type="dxa"/>
            <w:vAlign w:val="top"/>
          </w:tcPr>
          <w:p>
            <w:pPr>
              <w:spacing w:line="600" w:lineRule="exact"/>
              <w:jc w:val="center"/>
              <w:rPr>
                <w:rFonts w:ascii="Times New Roman" w:hAnsi="Times New Roman" w:eastAsia="仿宋_GB2312"/>
                <w:sz w:val="32"/>
                <w:szCs w:val="32"/>
              </w:rPr>
            </w:pPr>
          </w:p>
        </w:tc>
        <w:tc>
          <w:tcPr>
            <w:tcW w:w="1620" w:type="dxa"/>
            <w:vAlign w:val="top"/>
          </w:tcPr>
          <w:p>
            <w:pPr>
              <w:spacing w:line="600" w:lineRule="exact"/>
              <w:jc w:val="center"/>
              <w:rPr>
                <w:rFonts w:ascii="Times New Roman" w:hAnsi="Times New Roman" w:eastAsia="仿宋_GB2312"/>
                <w:sz w:val="32"/>
                <w:szCs w:val="32"/>
              </w:rPr>
            </w:pPr>
          </w:p>
        </w:tc>
        <w:tc>
          <w:tcPr>
            <w:tcW w:w="2494" w:type="dxa"/>
            <w:vAlign w:val="top"/>
          </w:tcPr>
          <w:p>
            <w:pPr>
              <w:spacing w:line="600" w:lineRule="exact"/>
              <w:jc w:val="center"/>
              <w:rPr>
                <w:rFonts w:ascii="Times New Roman" w:hAnsi="Times New Roman" w:eastAsia="仿宋_GB2312"/>
                <w:sz w:val="32"/>
                <w:szCs w:val="32"/>
              </w:rPr>
            </w:pPr>
          </w:p>
        </w:tc>
        <w:tc>
          <w:tcPr>
            <w:tcW w:w="249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902" w:type="dxa"/>
            <w:vAlign w:val="top"/>
          </w:tcPr>
          <w:p>
            <w:pPr>
              <w:spacing w:line="600" w:lineRule="exact"/>
              <w:jc w:val="center"/>
              <w:rPr>
                <w:rFonts w:ascii="Times New Roman" w:hAnsi="Times New Roman" w:eastAsia="仿宋_GB2312"/>
                <w:sz w:val="32"/>
                <w:szCs w:val="32"/>
              </w:rPr>
            </w:pPr>
          </w:p>
        </w:tc>
        <w:tc>
          <w:tcPr>
            <w:tcW w:w="1620" w:type="dxa"/>
            <w:vAlign w:val="top"/>
          </w:tcPr>
          <w:p>
            <w:pPr>
              <w:spacing w:line="600" w:lineRule="exact"/>
              <w:jc w:val="center"/>
              <w:rPr>
                <w:rFonts w:ascii="Times New Roman" w:hAnsi="Times New Roman" w:eastAsia="仿宋_GB2312"/>
                <w:sz w:val="32"/>
                <w:szCs w:val="32"/>
              </w:rPr>
            </w:pPr>
          </w:p>
        </w:tc>
        <w:tc>
          <w:tcPr>
            <w:tcW w:w="2494" w:type="dxa"/>
            <w:vAlign w:val="top"/>
          </w:tcPr>
          <w:p>
            <w:pPr>
              <w:spacing w:line="600" w:lineRule="exact"/>
              <w:jc w:val="center"/>
              <w:rPr>
                <w:rFonts w:ascii="Times New Roman" w:hAnsi="Times New Roman" w:eastAsia="仿宋_GB2312"/>
                <w:sz w:val="32"/>
                <w:szCs w:val="32"/>
              </w:rPr>
            </w:pPr>
          </w:p>
        </w:tc>
        <w:tc>
          <w:tcPr>
            <w:tcW w:w="249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c>
          <w:tcPr>
            <w:tcW w:w="1984" w:type="dxa"/>
            <w:vAlign w:val="top"/>
          </w:tcPr>
          <w:p>
            <w:pPr>
              <w:spacing w:line="600" w:lineRule="exact"/>
              <w:jc w:val="center"/>
              <w:rPr>
                <w:rFonts w:ascii="Times New Roman" w:hAnsi="Times New Roman" w:eastAsia="仿宋_GB2312"/>
                <w:sz w:val="32"/>
                <w:szCs w:val="32"/>
              </w:rPr>
            </w:pPr>
          </w:p>
        </w:tc>
      </w:tr>
    </w:tbl>
    <w:p>
      <w:pPr>
        <w:jc w:val="left"/>
        <w:rPr>
          <w:lang w:val="en-US" w:eastAsia="zh-CN"/>
        </w:rPr>
      </w:pPr>
    </w:p>
    <w:sectPr>
      <w:pgSz w:w="16838" w:h="11906" w:orient="landscape"/>
      <w:pgMar w:top="1531" w:right="2098" w:bottom="1531" w:left="1985"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auto"/>
    <w:pitch w:val="default"/>
    <w:sig w:usb0="00000000" w:usb1="00000000" w:usb2="00000000" w:usb3="00000000" w:csb0="00040001" w:csb1="00000000"/>
  </w:font>
  <w:font w:name="方正小标宋_GBK">
    <w:panose1 w:val="03000502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汉鼎简大宋">
    <w:altName w:val="宋体"/>
    <w:panose1 w:val="0201060901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rFonts w:ascii="Times New Roman" w:hAnsi="Times New Roman" w:eastAsia="宋体" w:cs="Times New Roman"/>
        <w:kern w:val="2"/>
        <w:sz w:val="28"/>
        <w:szCs w:val="18"/>
        <w:lang w:val="en-US" w:eastAsia="zh-CN" w:bidi="ar-SA"/>
      </w:rPr>
      <w:pict>
        <v:rect id="文本框 5" o:spid="_x0000_s2049" o:spt="1"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snapToGrid w:val="0"/>
                  <w:rPr>
                    <w:rFonts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ascii="仿宋" w:hAnsi="仿宋" w:eastAsia="仿宋" w:cs="仿宋"/>
                    <w:sz w:val="28"/>
                    <w:szCs w:val="28"/>
                  </w:rPr>
                  <w:t>- 9 -</w:t>
                </w:r>
                <w:r>
                  <w:rPr>
                    <w:rFonts w:hint="eastAsia" w:ascii="仿宋" w:hAnsi="仿宋" w:eastAsia="仿宋" w:cs="仿宋"/>
                    <w:sz w:val="28"/>
                    <w:szCs w:val="28"/>
                  </w:rPr>
                  <w:fldChar w:fldCharType="end"/>
                </w:r>
              </w:p>
            </w:txbxContent>
          </v:textbox>
        </v:rect>
      </w:pict>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sz w:val="28"/>
        <w:szCs w:val="28"/>
      </w:rPr>
    </w:pPr>
    <w:r>
      <w:rPr>
        <w:rFonts w:ascii="Times New Roman" w:hAnsi="Times New Roman" w:eastAsia="宋体" w:cs="Times New Roman"/>
        <w:kern w:val="2"/>
        <w:sz w:val="28"/>
        <w:szCs w:val="18"/>
        <w:lang w:val="en-US" w:eastAsia="zh-CN" w:bidi="ar-SA"/>
      </w:rPr>
      <w:pict>
        <v:rect id="文本框 3" o:spid="_x0000_s2050" o:spt="1" style="position:absolute;left:0pt;margin-top:0pt;height:144pt;width:144pt;mso-position-horizontal:outside;mso-position-horizontal-relative:margin;mso-wrap-style:none;z-index:251660288;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snapToGrid w:val="0"/>
                  <w:rPr>
                    <w:rFonts w:ascii="仿宋" w:hAnsi="仿宋" w:eastAsia="仿宋" w:cs="仿宋"/>
                    <w:sz w:val="28"/>
                    <w:szCs w:val="44"/>
                  </w:rPr>
                </w:pPr>
                <w:r>
                  <w:rPr>
                    <w:rFonts w:hint="eastAsia" w:ascii="仿宋" w:hAnsi="仿宋" w:eastAsia="仿宋" w:cs="仿宋"/>
                    <w:sz w:val="28"/>
                    <w:szCs w:val="44"/>
                  </w:rPr>
                  <w:fldChar w:fldCharType="begin"/>
                </w:r>
                <w:r>
                  <w:rPr>
                    <w:rFonts w:hint="eastAsia" w:ascii="仿宋" w:hAnsi="仿宋" w:eastAsia="仿宋" w:cs="仿宋"/>
                    <w:sz w:val="28"/>
                    <w:szCs w:val="44"/>
                  </w:rPr>
                  <w:instrText xml:space="preserve"> PAGE  \* MERGEFORMAT </w:instrText>
                </w:r>
                <w:r>
                  <w:rPr>
                    <w:rFonts w:hint="eastAsia" w:ascii="仿宋" w:hAnsi="仿宋" w:eastAsia="仿宋" w:cs="仿宋"/>
                    <w:sz w:val="28"/>
                    <w:szCs w:val="44"/>
                  </w:rPr>
                  <w:fldChar w:fldCharType="separate"/>
                </w:r>
                <w:r>
                  <w:rPr>
                    <w:rFonts w:hint="eastAsia" w:ascii="仿宋" w:hAnsi="仿宋" w:eastAsia="仿宋" w:cs="仿宋"/>
                    <w:sz w:val="28"/>
                    <w:szCs w:val="44"/>
                  </w:rPr>
                  <w:t>- 2 -</w:t>
                </w:r>
                <w:r>
                  <w:rPr>
                    <w:rFonts w:hint="eastAsia" w:ascii="仿宋" w:hAnsi="仿宋" w:eastAsia="仿宋" w:cs="仿宋"/>
                    <w:sz w:val="28"/>
                    <w:szCs w:val="44"/>
                  </w:rPr>
                  <w:fldChar w:fldCharType="end"/>
                </w:r>
              </w:p>
            </w:txbxContent>
          </v:textbox>
        </v:rect>
      </w:pic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Y2RmMmFkYWU3NDcwZDgxZTEwZGRmZjEzMzM4NTBmNTQifQ=="/>
  </w:docVars>
  <w:rsids>
    <w:rsidRoot w:val="44891E97"/>
    <w:rsid w:val="08A463D3"/>
    <w:rsid w:val="0C9A0A82"/>
    <w:rsid w:val="0CB6064B"/>
    <w:rsid w:val="0EE62151"/>
    <w:rsid w:val="133B20CB"/>
    <w:rsid w:val="16C9566F"/>
    <w:rsid w:val="1BF50281"/>
    <w:rsid w:val="1D28414B"/>
    <w:rsid w:val="1F2B1549"/>
    <w:rsid w:val="22B05EED"/>
    <w:rsid w:val="23985A45"/>
    <w:rsid w:val="24C75AB4"/>
    <w:rsid w:val="262A5D96"/>
    <w:rsid w:val="26AE1308"/>
    <w:rsid w:val="27F208AE"/>
    <w:rsid w:val="28F9550D"/>
    <w:rsid w:val="2AFE3465"/>
    <w:rsid w:val="2FDF20CC"/>
    <w:rsid w:val="307C07EC"/>
    <w:rsid w:val="340C6F4A"/>
    <w:rsid w:val="380C59A6"/>
    <w:rsid w:val="3AEB742F"/>
    <w:rsid w:val="3C2335E9"/>
    <w:rsid w:val="3C470C3A"/>
    <w:rsid w:val="3EBA7325"/>
    <w:rsid w:val="3F903830"/>
    <w:rsid w:val="41093664"/>
    <w:rsid w:val="44891E97"/>
    <w:rsid w:val="44BB7359"/>
    <w:rsid w:val="45E703A8"/>
    <w:rsid w:val="46EF0073"/>
    <w:rsid w:val="4A69258E"/>
    <w:rsid w:val="502B73A6"/>
    <w:rsid w:val="51710B2C"/>
    <w:rsid w:val="51EA263E"/>
    <w:rsid w:val="532511E8"/>
    <w:rsid w:val="57C23590"/>
    <w:rsid w:val="57E8358D"/>
    <w:rsid w:val="59981AA8"/>
    <w:rsid w:val="61427D2E"/>
    <w:rsid w:val="61E37639"/>
    <w:rsid w:val="642A6EEB"/>
    <w:rsid w:val="67810175"/>
    <w:rsid w:val="6AF85282"/>
    <w:rsid w:val="6E2E13D7"/>
    <w:rsid w:val="6E917CDD"/>
    <w:rsid w:val="752521B1"/>
    <w:rsid w:val="7575456D"/>
    <w:rsid w:val="788E4256"/>
    <w:rsid w:val="7CD0589C"/>
    <w:rsid w:val="7E8C4DD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rules v:ext="edit">
        <o:r id="V:Rule1" type="connector" idref="#直接连接符 3"/>
        <o:r id="V:Rule2" type="connector" idref="#直接连接符 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3"/>
    <w:basedOn w:val="1"/>
    <w:next w:val="1"/>
    <w:qFormat/>
    <w:uiPriority w:val="99"/>
    <w:pPr>
      <w:keepNext/>
      <w:keepLines/>
      <w:ind w:firstLine="200" w:firstLineChars="200"/>
      <w:outlineLvl w:val="2"/>
    </w:pPr>
    <w:rPr>
      <w:rFonts w:eastAsia="楷体_GB2312"/>
      <w:b/>
      <w:bCs/>
      <w:kern w:val="0"/>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paragraph" w:customStyle="1" w:styleId="10">
    <w:name w:val="样式1"/>
    <w:basedOn w:val="1"/>
    <w:qFormat/>
    <w:uiPriority w:val="0"/>
  </w:style>
  <w:style w:type="paragraph" w:customStyle="1" w:styleId="11">
    <w:name w:val="TableOfAuthoring"/>
    <w:basedOn w:val="1"/>
    <w:next w:val="1"/>
    <w:qFormat/>
    <w:uiPriority w:val="0"/>
    <w:pPr>
      <w:widowControl/>
      <w:ind w:left="420" w:leftChars="200"/>
      <w:textAlignment w:val="baseline"/>
    </w:pPr>
  </w:style>
  <w:style w:type="paragraph" w:customStyle="1"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textRotate="1"/>
    <customShpInfo spid="_x0000_s2050" textRotate="1"/>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4499</Words>
  <Characters>4533</Characters>
  <Lines>0</Lines>
  <Paragraphs>0</Paragraphs>
  <TotalTime>4</TotalTime>
  <ScaleCrop>false</ScaleCrop>
  <LinksUpToDate>false</LinksUpToDate>
  <CharactersWithSpaces>4699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2021-11-08T16:58:00Z</dcterms:created>
  <dc:creator>努尔比亚·哈斯木</dc:creator>
  <cp:lastModifiedBy>Acer</cp:lastModifiedBy>
  <cp:lastPrinted>2021-12-14T09:04:00Z</cp:lastPrinted>
  <dcterms:modified xsi:type="dcterms:W3CDTF">2024-01-09T09:22:11Z</dcterms:modified>
  <dc:title>中共新疆职业大学委员会文件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6EEF5774B9A94E6BAB2FAB108E2AC5BA</vt:lpwstr>
  </property>
</Properties>
</file>