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D46D9">
      <w:pPr>
        <w:spacing w:line="360" w:lineRule="auto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295910</wp:posOffset>
            </wp:positionH>
            <wp:positionV relativeFrom="paragraph">
              <wp:posOffset>-219710</wp:posOffset>
            </wp:positionV>
            <wp:extent cx="3157855" cy="769620"/>
            <wp:effectExtent l="0" t="0" r="0" b="0"/>
            <wp:wrapNone/>
            <wp:docPr id="196778917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789173" name="图片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4453" cy="77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202D8">
      <w:pPr>
        <w:spacing w:line="360" w:lineRule="auto"/>
        <w:rPr>
          <w:rFonts w:hint="eastAsia" w:ascii="宋体" w:hAnsi="宋体" w:eastAsia="宋体"/>
          <w:sz w:val="24"/>
        </w:rPr>
      </w:pPr>
    </w:p>
    <w:p w14:paraId="63A4E380">
      <w:pPr>
        <w:spacing w:line="360" w:lineRule="auto"/>
        <w:rPr>
          <w:rFonts w:hint="eastAsia" w:ascii="宋体" w:hAnsi="宋体" w:eastAsia="宋体"/>
          <w:sz w:val="24"/>
        </w:rPr>
      </w:pPr>
    </w:p>
    <w:p w14:paraId="5CABE2B5">
      <w:pPr>
        <w:spacing w:line="360" w:lineRule="auto"/>
        <w:jc w:val="center"/>
        <w:rPr>
          <w:rFonts w:hint="eastAsia"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新疆职业大学新校区</w:t>
      </w:r>
    </w:p>
    <w:p w14:paraId="0B9C524D">
      <w:pPr>
        <w:spacing w:line="360" w:lineRule="auto"/>
        <w:jc w:val="center"/>
        <w:rPr>
          <w:rFonts w:hint="eastAsia"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一校通系统及应用软件平台建设项目</w:t>
      </w:r>
    </w:p>
    <w:p w14:paraId="77ED50F2">
      <w:pPr>
        <w:spacing w:line="360" w:lineRule="auto"/>
        <w:rPr>
          <w:rFonts w:hint="eastAsia" w:ascii="宋体" w:hAnsi="宋体" w:eastAsia="宋体"/>
          <w:sz w:val="24"/>
        </w:rPr>
      </w:pPr>
    </w:p>
    <w:p w14:paraId="1668D472">
      <w:pPr>
        <w:spacing w:line="360" w:lineRule="auto"/>
        <w:rPr>
          <w:rFonts w:hint="eastAsia" w:ascii="宋体" w:hAnsi="宋体" w:eastAsia="宋体"/>
          <w:sz w:val="24"/>
        </w:rPr>
      </w:pPr>
    </w:p>
    <w:p w14:paraId="0A4F2F52">
      <w:pPr>
        <w:spacing w:line="360" w:lineRule="auto"/>
        <w:rPr>
          <w:rFonts w:hint="eastAsia" w:ascii="宋体" w:hAnsi="宋体" w:eastAsia="宋体"/>
          <w:sz w:val="24"/>
        </w:rPr>
      </w:pPr>
    </w:p>
    <w:p w14:paraId="67CA9AFB">
      <w:pPr>
        <w:spacing w:line="360" w:lineRule="auto"/>
        <w:jc w:val="center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智慧迎新操作手册</w:t>
      </w:r>
    </w:p>
    <w:p w14:paraId="0C231D41">
      <w:pPr>
        <w:spacing w:line="360" w:lineRule="auto"/>
        <w:rPr>
          <w:rFonts w:hint="eastAsia" w:ascii="宋体" w:hAnsi="宋体" w:eastAsia="宋体"/>
          <w:sz w:val="24"/>
        </w:rPr>
      </w:pPr>
    </w:p>
    <w:p w14:paraId="0E9A7FF0">
      <w:pPr>
        <w:spacing w:line="360" w:lineRule="auto"/>
        <w:rPr>
          <w:rFonts w:hint="eastAsia" w:ascii="宋体" w:hAnsi="宋体" w:eastAsia="宋体"/>
          <w:sz w:val="24"/>
        </w:rPr>
      </w:pPr>
    </w:p>
    <w:p w14:paraId="1FC51A20">
      <w:pPr>
        <w:spacing w:line="360" w:lineRule="auto"/>
        <w:rPr>
          <w:rFonts w:hint="eastAsia" w:ascii="宋体" w:hAnsi="宋体" w:eastAsia="宋体"/>
          <w:sz w:val="24"/>
        </w:rPr>
      </w:pPr>
    </w:p>
    <w:p w14:paraId="16F9195C">
      <w:pPr>
        <w:spacing w:line="360" w:lineRule="auto"/>
        <w:rPr>
          <w:rFonts w:hint="eastAsia" w:ascii="宋体" w:hAnsi="宋体" w:eastAsia="宋体"/>
          <w:sz w:val="24"/>
        </w:rPr>
      </w:pPr>
    </w:p>
    <w:p w14:paraId="7D64D203">
      <w:pPr>
        <w:spacing w:line="360" w:lineRule="auto"/>
        <w:rPr>
          <w:rFonts w:hint="eastAsia" w:ascii="宋体" w:hAnsi="宋体" w:eastAsia="宋体"/>
          <w:sz w:val="24"/>
        </w:rPr>
      </w:pPr>
    </w:p>
    <w:p w14:paraId="685B4008">
      <w:pPr>
        <w:spacing w:line="360" w:lineRule="auto"/>
        <w:rPr>
          <w:rFonts w:hint="eastAsia" w:ascii="宋体" w:hAnsi="宋体" w:eastAsia="宋体"/>
          <w:sz w:val="24"/>
        </w:rPr>
      </w:pPr>
    </w:p>
    <w:p w14:paraId="438159A1">
      <w:pPr>
        <w:spacing w:line="360" w:lineRule="auto"/>
        <w:jc w:val="center"/>
        <w:rPr>
          <w:rFonts w:hint="eastAsia" w:ascii="宋体" w:hAnsi="宋体" w:eastAsia="宋体"/>
          <w:sz w:val="32"/>
          <w:szCs w:val="32"/>
          <w:u w:val="single"/>
        </w:rPr>
      </w:pPr>
    </w:p>
    <w:p w14:paraId="04FEB978">
      <w:pPr>
        <w:rPr>
          <w:rFonts w:hint="default"/>
          <w:lang w:val="en-US" w:eastAsia="zh-CN"/>
        </w:rPr>
      </w:pPr>
    </w:p>
    <w:p w14:paraId="50DEC44D">
      <w:pPr>
        <w:rPr>
          <w:rFonts w:hint="default"/>
          <w:lang w:val="en-US" w:eastAsia="zh-CN"/>
        </w:rPr>
      </w:pPr>
    </w:p>
    <w:p w14:paraId="12AE568E">
      <w:pPr>
        <w:rPr>
          <w:rFonts w:hint="default"/>
          <w:lang w:val="en-US" w:eastAsia="zh-CN"/>
        </w:rPr>
      </w:pPr>
    </w:p>
    <w:p w14:paraId="6EDEA080">
      <w:pPr>
        <w:rPr>
          <w:rFonts w:hint="default"/>
          <w:lang w:val="en-US" w:eastAsia="zh-CN"/>
        </w:rPr>
      </w:pPr>
    </w:p>
    <w:p w14:paraId="0AEF3C2E">
      <w:pPr>
        <w:rPr>
          <w:rFonts w:hint="default"/>
          <w:lang w:val="en-US" w:eastAsia="zh-CN"/>
        </w:rPr>
      </w:pPr>
    </w:p>
    <w:p w14:paraId="4D42FA7E"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84410F2">
      <w:pPr>
        <w:rPr>
          <w:rFonts w:hint="default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  <w:id w:val="147470787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2"/>
          <w:lang w:val="en-US" w:eastAsia="zh-CN" w:bidi="ar-SA"/>
        </w:rPr>
      </w:sdtEndPr>
      <w:sdtContent>
        <w:p w14:paraId="4946D4DE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4D180AD3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_Toc13564 </w:instrText>
          </w:r>
          <w:r>
            <w:fldChar w:fldCharType="separate"/>
          </w:r>
          <w:r>
            <w:rPr>
              <w:rFonts w:hint="eastAsia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_Toc13564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0FD4518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_Toc18314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</w:t>
          </w:r>
          <w:r>
            <w:rPr>
              <w:rFonts w:hint="eastAsia"/>
            </w:rPr>
            <w:t>编写目的</w:t>
          </w:r>
          <w:r>
            <w:tab/>
          </w:r>
          <w:r>
            <w:fldChar w:fldCharType="begin"/>
          </w:r>
          <w:r>
            <w:instrText xml:space="preserve"> PAGEREF _Toc18314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57366F9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_Toc21265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</w:t>
          </w:r>
          <w:r>
            <w:rPr>
              <w:rFonts w:hint="eastAsia"/>
            </w:rPr>
            <w:t>适用范围</w:t>
          </w:r>
          <w:r>
            <w:tab/>
          </w:r>
          <w:r>
            <w:fldChar w:fldCharType="begin"/>
          </w:r>
          <w:r>
            <w:instrText xml:space="preserve"> PAGEREF _Toc21265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35AB770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_Toc22682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</w:t>
          </w:r>
          <w:r>
            <w:rPr>
              <w:rFonts w:hint="eastAsia"/>
            </w:rPr>
            <w:t>文档负责单位</w:t>
          </w:r>
          <w:r>
            <w:tab/>
          </w:r>
          <w:r>
            <w:fldChar w:fldCharType="begin"/>
          </w:r>
          <w:r>
            <w:instrText xml:space="preserve"> PAGEREF _Toc22682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4F91CD5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_Toc14998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一、基础设置</w:t>
          </w:r>
          <w:r>
            <w:tab/>
          </w:r>
          <w:r>
            <w:fldChar w:fldCharType="begin"/>
          </w:r>
          <w:r>
            <w:instrText xml:space="preserve"> PAGEREF _Toc14998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A656817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_Toc15376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二、信息查看审批</w:t>
          </w:r>
          <w:r>
            <w:tab/>
          </w:r>
          <w:r>
            <w:fldChar w:fldCharType="begin"/>
          </w:r>
          <w:r>
            <w:instrText xml:space="preserve"> PAGEREF _Toc15376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7D8FD5B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</w:t>
          </w:r>
          <w:r>
            <w:rPr>
              <w:rFonts w:hint="eastAsia"/>
            </w:rPr>
            <w:t>学生基础信息</w:t>
          </w:r>
          <w:r>
            <w:tab/>
          </w:r>
          <w:r>
            <w:fldChar w:fldCharType="begin"/>
          </w:r>
          <w:r>
            <w:instrText xml:space="preserve"> PAGEREF _Toc968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C80A9BA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_Toc16604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</w:t>
          </w:r>
          <w:r>
            <w:rPr>
              <w:rFonts w:hint="eastAsia"/>
            </w:rPr>
            <w:t>预报到信息</w:t>
          </w:r>
          <w:r>
            <w:tab/>
          </w:r>
          <w:r>
            <w:fldChar w:fldCharType="begin"/>
          </w:r>
          <w:r>
            <w:instrText xml:space="preserve"> PAGEREF _Toc16604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2F4B83BC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_Toc8920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</w:t>
          </w:r>
          <w:r>
            <w:rPr>
              <w:rFonts w:hint="eastAsia"/>
            </w:rPr>
            <w:t>绿色通道审批</w:t>
          </w:r>
          <w:r>
            <w:tab/>
          </w:r>
          <w:r>
            <w:fldChar w:fldCharType="begin"/>
          </w:r>
          <w:r>
            <w:instrText xml:space="preserve"> PAGEREF _Toc8920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4AC2B4B6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_Toc28519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 个人信息完善、学生等级信息汇总表、预到校时间、行程统计信息</w:t>
          </w:r>
          <w:r>
            <w:tab/>
          </w:r>
          <w:r>
            <w:fldChar w:fldCharType="begin"/>
          </w:r>
          <w:r>
            <w:instrText xml:space="preserve"> PAGEREF _Toc28519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7D42065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_Toc14244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三、采购设置</w:t>
          </w:r>
          <w:r>
            <w:tab/>
          </w:r>
          <w:r>
            <w:fldChar w:fldCharType="begin"/>
          </w:r>
          <w:r>
            <w:instrText xml:space="preserve"> PAGEREF _Toc14244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6A14C43D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_Toc1251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</w:t>
          </w:r>
          <w:r>
            <w:rPr>
              <w:rFonts w:hint="eastAsia"/>
            </w:rPr>
            <w:t>物品信息</w:t>
          </w:r>
          <w:r>
            <w:tab/>
          </w:r>
          <w:r>
            <w:fldChar w:fldCharType="begin"/>
          </w:r>
          <w:r>
            <w:instrText xml:space="preserve"> PAGEREF _Toc1251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17A965DA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_Toc23601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</w:t>
          </w:r>
          <w:r>
            <w:rPr>
              <w:rFonts w:hint="eastAsia"/>
            </w:rPr>
            <w:t>采购统计</w:t>
          </w:r>
          <w:r>
            <w:tab/>
          </w:r>
          <w:r>
            <w:fldChar w:fldCharType="begin"/>
          </w:r>
          <w:r>
            <w:instrText xml:space="preserve"> PAGEREF _Toc23601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B498D92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_Toc18008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四、资格审查</w:t>
          </w:r>
          <w:r>
            <w:tab/>
          </w:r>
          <w:r>
            <w:fldChar w:fldCharType="begin"/>
          </w:r>
          <w:r>
            <w:instrText xml:space="preserve"> PAGEREF _Toc18008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100D07D2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_Toc28698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五、迎新大屏</w:t>
          </w:r>
          <w:r>
            <w:tab/>
          </w:r>
          <w:r>
            <w:fldChar w:fldCharType="begin"/>
          </w:r>
          <w:r>
            <w:instrText xml:space="preserve"> PAGEREF _Toc28698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35EAAC08">
          <w:pPr>
            <w:pStyle w:val="11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_Toc20708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六、移动端</w:t>
          </w:r>
          <w:r>
            <w:tab/>
          </w:r>
          <w:r>
            <w:fldChar w:fldCharType="begin"/>
          </w:r>
          <w:r>
            <w:instrText xml:space="preserve"> PAGEREF _Toc20708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303B28BE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_Toc4170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1.登录</w:t>
          </w:r>
          <w:r>
            <w:tab/>
          </w:r>
          <w:r>
            <w:fldChar w:fldCharType="begin"/>
          </w:r>
          <w:r>
            <w:instrText xml:space="preserve"> PAGEREF _Toc4170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2F205BC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_Toc30967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2.办理事项</w:t>
          </w:r>
          <w:r>
            <w:tab/>
          </w:r>
          <w:r>
            <w:fldChar w:fldCharType="begin"/>
          </w:r>
          <w:r>
            <w:instrText xml:space="preserve"> PAGEREF _Toc30967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65E8F2B8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_Toc9666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 我的</w:t>
          </w:r>
          <w:r>
            <w:tab/>
          </w:r>
          <w:r>
            <w:fldChar w:fldCharType="begin"/>
          </w:r>
          <w:r>
            <w:instrText xml:space="preserve"> PAGEREF _Toc9666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2024DDA0">
          <w:r>
            <w:fldChar w:fldCharType="end"/>
          </w:r>
        </w:p>
      </w:sdtContent>
    </w:sdt>
    <w:p w14:paraId="56A73327"/>
    <w:p w14:paraId="1A3C90CF"/>
    <w:p w14:paraId="2DA75002"/>
    <w:p w14:paraId="43D8EB70">
      <w:pPr>
        <w:pStyle w:val="2"/>
        <w:bidi w:val="0"/>
        <w:rPr>
          <w:rFonts w:hint="eastAsia"/>
        </w:rPr>
      </w:pPr>
      <w:bookmarkStart w:id="0" w:name="_Toc13564"/>
      <w:r>
        <w:rPr>
          <w:rFonts w:hint="eastAsia"/>
        </w:rPr>
        <w:t>前言</w:t>
      </w:r>
      <w:bookmarkEnd w:id="0"/>
    </w:p>
    <w:p w14:paraId="0FFAC5B4">
      <w:pPr>
        <w:pStyle w:val="4"/>
        <w:bidi w:val="0"/>
        <w:rPr>
          <w:rFonts w:hint="eastAsia"/>
        </w:rPr>
      </w:pPr>
      <w:bookmarkStart w:id="1" w:name="_Toc241403258"/>
      <w:bookmarkStart w:id="2" w:name="_Toc18314"/>
      <w:bookmarkStart w:id="3" w:name="_Toc11163"/>
      <w:bookmarkStart w:id="4" w:name="_Toc30734"/>
      <w:bookmarkStart w:id="5" w:name="_Toc17154"/>
      <w:r>
        <w:rPr>
          <w:rFonts w:hint="eastAsia"/>
          <w:lang w:val="en-US" w:eastAsia="zh-CN"/>
        </w:rPr>
        <w:t>1.</w:t>
      </w:r>
      <w:r>
        <w:rPr>
          <w:rFonts w:hint="eastAsia"/>
        </w:rPr>
        <w:t>编写目的</w:t>
      </w:r>
      <w:bookmarkEnd w:id="1"/>
      <w:bookmarkEnd w:id="2"/>
      <w:bookmarkEnd w:id="3"/>
      <w:bookmarkEnd w:id="4"/>
      <w:bookmarkEnd w:id="5"/>
    </w:p>
    <w:p w14:paraId="78744C99">
      <w:pPr>
        <w:bidi w:val="0"/>
        <w:rPr>
          <w:rFonts w:hint="eastAsia"/>
        </w:rPr>
      </w:pPr>
      <w:bookmarkStart w:id="6" w:name="_Toc241403260"/>
      <w:bookmarkStart w:id="7" w:name="_Toc7380"/>
      <w:r>
        <w:rPr>
          <w:rFonts w:hint="eastAsia"/>
        </w:rPr>
        <w:t>本手册为使用</w:t>
      </w:r>
      <w:r>
        <w:rPr>
          <w:rFonts w:hint="eastAsia"/>
          <w:lang w:val="en-US" w:eastAsia="zh-CN"/>
        </w:rPr>
        <w:t>迎新系统V1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版本的</w:t>
      </w:r>
      <w:r>
        <w:rPr>
          <w:rFonts w:hint="eastAsia"/>
          <w:lang w:val="en-US" w:eastAsia="zh-CN"/>
        </w:rPr>
        <w:t>管理人员</w:t>
      </w:r>
      <w:r>
        <w:rPr>
          <w:rFonts w:hint="eastAsia"/>
        </w:rPr>
        <w:t>提供操作使用指导 。</w:t>
      </w:r>
    </w:p>
    <w:p w14:paraId="3767B103">
      <w:pPr>
        <w:pStyle w:val="4"/>
        <w:bidi w:val="0"/>
        <w:rPr>
          <w:rFonts w:hint="eastAsia"/>
        </w:rPr>
      </w:pPr>
      <w:bookmarkStart w:id="8" w:name="_Toc7443"/>
      <w:bookmarkStart w:id="9" w:name="_Toc21265"/>
      <w:bookmarkStart w:id="10" w:name="_Toc1821"/>
      <w:bookmarkStart w:id="11" w:name="_Toc241403259"/>
      <w:bookmarkStart w:id="12" w:name="_Toc22147"/>
      <w:r>
        <w:rPr>
          <w:rFonts w:hint="eastAsia"/>
          <w:lang w:val="en-US" w:eastAsia="zh-CN"/>
        </w:rPr>
        <w:t>2.</w:t>
      </w:r>
      <w:r>
        <w:rPr>
          <w:rFonts w:hint="eastAsia"/>
        </w:rPr>
        <w:t>适用范围</w:t>
      </w:r>
      <w:bookmarkEnd w:id="8"/>
      <w:bookmarkEnd w:id="9"/>
      <w:bookmarkEnd w:id="10"/>
      <w:bookmarkEnd w:id="11"/>
      <w:bookmarkEnd w:id="12"/>
    </w:p>
    <w:p w14:paraId="5A68BB31">
      <w:pPr>
        <w:bidi w:val="0"/>
        <w:rPr>
          <w:rFonts w:hint="eastAsia"/>
        </w:rPr>
      </w:pPr>
      <w:r>
        <w:rPr>
          <w:rFonts w:hint="eastAsia"/>
        </w:rPr>
        <w:t>本手册暂时只适用于</w:t>
      </w:r>
      <w:r>
        <w:rPr>
          <w:rFonts w:hint="eastAsia"/>
          <w:lang w:val="en-US" w:eastAsia="zh-CN"/>
        </w:rPr>
        <w:t>迎新系统V1</w:t>
      </w:r>
      <w:r>
        <w:rPr>
          <w:rFonts w:hint="eastAsia"/>
        </w:rPr>
        <w:t>.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版本的</w:t>
      </w:r>
      <w:r>
        <w:rPr>
          <w:rFonts w:hint="eastAsia"/>
          <w:lang w:val="en-US" w:eastAsia="zh-CN"/>
        </w:rPr>
        <w:t>使用</w:t>
      </w:r>
      <w:r>
        <w:rPr>
          <w:rFonts w:hint="eastAsia"/>
        </w:rPr>
        <w:t>人员。</w:t>
      </w:r>
    </w:p>
    <w:p w14:paraId="4098E796">
      <w:pPr>
        <w:pStyle w:val="4"/>
        <w:bidi w:val="0"/>
        <w:rPr>
          <w:rFonts w:hint="eastAsia"/>
        </w:rPr>
      </w:pPr>
      <w:bookmarkStart w:id="13" w:name="_Toc13270"/>
      <w:bookmarkStart w:id="14" w:name="_Toc12295"/>
      <w:bookmarkStart w:id="15" w:name="_Toc22682"/>
      <w:r>
        <w:rPr>
          <w:rFonts w:hint="eastAsia"/>
          <w:lang w:val="en-US" w:eastAsia="zh-CN"/>
        </w:rPr>
        <w:t>3.</w:t>
      </w:r>
      <w:r>
        <w:rPr>
          <w:rFonts w:hint="eastAsia"/>
        </w:rPr>
        <w:t>文档负责</w:t>
      </w:r>
      <w:bookmarkEnd w:id="6"/>
      <w:r>
        <w:rPr>
          <w:rFonts w:hint="eastAsia"/>
        </w:rPr>
        <w:t>单位</w:t>
      </w:r>
      <w:bookmarkEnd w:id="7"/>
      <w:bookmarkEnd w:id="13"/>
      <w:bookmarkEnd w:id="14"/>
      <w:bookmarkEnd w:id="15"/>
    </w:p>
    <w:p w14:paraId="47C48A59">
      <w:pPr>
        <w:bidi w:val="0"/>
        <w:rPr>
          <w:rFonts w:hint="eastAsia"/>
        </w:rPr>
      </w:pPr>
      <w:bookmarkStart w:id="16" w:name="_Toc241403261"/>
      <w:r>
        <w:rPr>
          <w:rFonts w:hint="eastAsia"/>
        </w:rPr>
        <w:t>本手册由</w:t>
      </w:r>
      <w:r>
        <w:rPr>
          <w:rFonts w:hint="eastAsia"/>
          <w:lang w:val="en-US" w:eastAsia="zh-CN"/>
        </w:rPr>
        <w:t>四川志诚元创有限公司</w:t>
      </w:r>
      <w:r>
        <w:rPr>
          <w:rFonts w:hint="eastAsia"/>
        </w:rPr>
        <w:t>研发中心负责起草、发布、维护和解释。</w:t>
      </w:r>
      <w:bookmarkEnd w:id="16"/>
    </w:p>
    <w:p w14:paraId="0582FD52">
      <w:pPr>
        <w:rPr>
          <w:rFonts w:hint="default"/>
          <w:lang w:val="en-US" w:eastAsia="zh-CN"/>
        </w:rPr>
      </w:pPr>
    </w:p>
    <w:p w14:paraId="786A8771">
      <w:pPr>
        <w:rPr>
          <w:rFonts w:hint="default"/>
          <w:sz w:val="84"/>
          <w:szCs w:val="84"/>
          <w:lang w:val="en-US" w:eastAsia="zh-CN"/>
        </w:rPr>
      </w:pPr>
    </w:p>
    <w:p w14:paraId="12AFC3CF">
      <w:pPr>
        <w:rPr>
          <w:rFonts w:hint="default"/>
          <w:sz w:val="84"/>
          <w:szCs w:val="84"/>
          <w:lang w:val="en-US" w:eastAsia="zh-CN"/>
        </w:rPr>
      </w:pPr>
    </w:p>
    <w:p w14:paraId="44C28448">
      <w:pPr>
        <w:rPr>
          <w:rFonts w:hint="default"/>
          <w:sz w:val="84"/>
          <w:szCs w:val="84"/>
          <w:lang w:val="en-US" w:eastAsia="zh-CN"/>
        </w:rPr>
      </w:pPr>
    </w:p>
    <w:p w14:paraId="5B208684">
      <w:pPr>
        <w:rPr>
          <w:rFonts w:hint="default"/>
          <w:sz w:val="84"/>
          <w:szCs w:val="84"/>
          <w:lang w:val="en-US" w:eastAsia="zh-CN"/>
        </w:rPr>
      </w:pPr>
    </w:p>
    <w:p w14:paraId="24E9C097">
      <w:pPr>
        <w:rPr>
          <w:rFonts w:hint="default"/>
          <w:sz w:val="84"/>
          <w:szCs w:val="84"/>
          <w:lang w:val="en-US" w:eastAsia="zh-CN"/>
        </w:rPr>
      </w:pPr>
    </w:p>
    <w:p w14:paraId="36015052">
      <w:pPr>
        <w:rPr>
          <w:rFonts w:hint="default"/>
          <w:sz w:val="84"/>
          <w:szCs w:val="84"/>
          <w:lang w:val="en-US" w:eastAsia="zh-CN"/>
        </w:rPr>
      </w:pPr>
    </w:p>
    <w:p w14:paraId="1D7750B8">
      <w:pPr>
        <w:pStyle w:val="3"/>
        <w:ind w:left="0" w:leftChars="0" w:firstLine="0" w:firstLineChars="0"/>
        <w:rPr>
          <w:rFonts w:hint="eastAsia"/>
          <w:lang w:val="en-US" w:eastAsia="zh-CN"/>
        </w:rPr>
      </w:pPr>
    </w:p>
    <w:p w14:paraId="205A94C5">
      <w:pPr>
        <w:pStyle w:val="4"/>
        <w:bidi w:val="0"/>
        <w:rPr>
          <w:rFonts w:hint="eastAsia"/>
          <w:lang w:val="en-US" w:eastAsia="zh-CN"/>
        </w:rPr>
      </w:pPr>
      <w:bookmarkStart w:id="17" w:name="_Toc14998"/>
      <w:r>
        <w:rPr>
          <w:rFonts w:hint="eastAsia"/>
          <w:lang w:val="en-US" w:eastAsia="zh-CN"/>
        </w:rPr>
        <w:t>一、基础设置</w:t>
      </w:r>
      <w:bookmarkEnd w:id="17"/>
    </w:p>
    <w:p w14:paraId="2C5EFA95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【年度】：</w:t>
      </w:r>
      <w:r>
        <w:rPr>
          <w:rFonts w:hint="eastAsia" w:asciiTheme="minorEastAsia" w:hAnsiTheme="minorEastAsia" w:cstheme="minorEastAsia"/>
        </w:rPr>
        <w:t>用于展示迎新年度（默认当前年份，每年更新）</w:t>
      </w:r>
    </w:p>
    <w:p w14:paraId="0BD94AEC">
      <w:pPr>
        <w:ind w:firstLine="560" w:firstLineChars="200"/>
        <w:rPr>
          <w:color w:val="000000"/>
          <w:szCs w:val="21"/>
          <w:shd w:val="clear" w:color="auto" w:fill="FFFFFF"/>
        </w:rPr>
      </w:pPr>
      <w:r>
        <w:rPr>
          <w:rFonts w:hint="eastAsia"/>
          <w:color w:val="000000"/>
          <w:szCs w:val="21"/>
          <w:shd w:val="clear" w:color="auto" w:fill="FFFFFF"/>
        </w:rPr>
        <w:t>【迎新系统总开关】：开启后公众号进入迎新功能时可正常进入；关闭后公众号进入迎新功能时提示迎新尚未开启，开启时间段：“</w:t>
      </w:r>
      <w:r>
        <w:rPr>
          <w:rFonts w:ascii="Arial" w:hAnsi="Arial" w:eastAsia="Arial" w:cs="Arial"/>
          <w:color w:val="333333"/>
          <w:sz w:val="19"/>
          <w:szCs w:val="19"/>
        </w:rPr>
        <w:t>XXXX年XX月XX日至XXXX年XX月XX日</w:t>
      </w:r>
      <w:r>
        <w:rPr>
          <w:rFonts w:hint="eastAsia"/>
          <w:color w:val="000000"/>
          <w:szCs w:val="21"/>
          <w:shd w:val="clear" w:color="auto" w:fill="FFFFFF"/>
        </w:rPr>
        <w:t>”（根据迎新开启时间和结算时间显示）</w:t>
      </w:r>
    </w:p>
    <w:p w14:paraId="09DEC5D4">
      <w:pPr>
        <w:ind w:firstLine="560" w:firstLineChars="200"/>
        <w:rPr>
          <w:color w:val="000000"/>
          <w:szCs w:val="21"/>
          <w:shd w:val="clear" w:color="auto" w:fill="FFFFFF"/>
        </w:rPr>
      </w:pPr>
      <w:r>
        <w:rPr>
          <w:rFonts w:hint="eastAsia"/>
          <w:color w:val="000000"/>
          <w:szCs w:val="21"/>
          <w:shd w:val="clear" w:color="auto" w:fill="FFFFFF"/>
        </w:rPr>
        <w:t>【预报到时间】：点击选择时间按钮“</w:t>
      </w:r>
      <w:r>
        <w:drawing>
          <wp:inline distT="0" distB="0" distL="114300" distR="114300">
            <wp:extent cx="1619250" cy="390525"/>
            <wp:effectExtent l="0" t="0" r="11430" b="5715"/>
            <wp:docPr id="21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Cs w:val="21"/>
          <w:shd w:val="clear" w:color="auto" w:fill="FFFFFF"/>
        </w:rPr>
        <w:t>”，选择预报到开启</w:t>
      </w: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和结束</w:t>
      </w:r>
      <w:r>
        <w:rPr>
          <w:rFonts w:hint="eastAsia"/>
          <w:color w:val="000000"/>
          <w:szCs w:val="21"/>
          <w:shd w:val="clear" w:color="auto" w:fill="FFFFFF"/>
        </w:rPr>
        <w:t>时间</w:t>
      </w:r>
    </w:p>
    <w:p w14:paraId="207A3CB5">
      <w:pPr>
        <w:ind w:firstLine="560" w:firstLineChars="200"/>
        <w:rPr>
          <w:color w:val="000000"/>
          <w:szCs w:val="21"/>
          <w:shd w:val="clear" w:color="auto" w:fill="FFFFFF"/>
        </w:rPr>
      </w:pPr>
      <w:r>
        <w:rPr>
          <w:rFonts w:hint="eastAsia"/>
          <w:color w:val="000000"/>
          <w:szCs w:val="21"/>
          <w:shd w:val="clear" w:color="auto" w:fill="FFFFFF"/>
        </w:rPr>
        <w:t>【迎新时间】：点击选择时间按钮“</w:t>
      </w:r>
      <w:r>
        <w:drawing>
          <wp:inline distT="0" distB="0" distL="114300" distR="114300">
            <wp:extent cx="1619250" cy="390525"/>
            <wp:effectExtent l="0" t="0" r="11430" b="5715"/>
            <wp:docPr id="20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Cs w:val="21"/>
          <w:shd w:val="clear" w:color="auto" w:fill="FFFFFF"/>
        </w:rPr>
        <w:t>”，选择迎新开启</w:t>
      </w: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和结束</w:t>
      </w:r>
      <w:r>
        <w:rPr>
          <w:rFonts w:hint="eastAsia"/>
          <w:color w:val="000000"/>
          <w:szCs w:val="21"/>
          <w:shd w:val="clear" w:color="auto" w:fill="FFFFFF"/>
        </w:rPr>
        <w:t>时间</w:t>
      </w:r>
    </w:p>
    <w:p w14:paraId="7CF903A0">
      <w:pPr>
        <w:ind w:firstLine="560" w:firstLineChars="200"/>
        <w:rPr>
          <w:rFonts w:hint="eastAsia" w:eastAsiaTheme="minorEastAsia"/>
          <w:color w:val="000000"/>
          <w:szCs w:val="21"/>
          <w:shd w:val="clear" w:color="auto" w:fill="FFFFFF"/>
          <w:lang w:eastAsia="zh-CN"/>
        </w:rPr>
      </w:pPr>
      <w:r>
        <w:rPr>
          <w:rFonts w:hint="eastAsia"/>
          <w:color w:val="000000"/>
          <w:szCs w:val="21"/>
          <w:shd w:val="clear" w:color="auto" w:fill="FFFFFF"/>
        </w:rPr>
        <w:t>【绿色通道审批角色】：点击选择绿色通道审批角色按钮“</w:t>
      </w:r>
      <w:r>
        <w:drawing>
          <wp:inline distT="0" distB="0" distL="114300" distR="114300">
            <wp:extent cx="1581150" cy="295275"/>
            <wp:effectExtent l="0" t="0" r="3810" b="9525"/>
            <wp:docPr id="20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zCs w:val="21"/>
          <w:shd w:val="clear" w:color="auto" w:fill="FFFFFF"/>
        </w:rPr>
        <w:t>”，从</w:t>
      </w: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下拉选项</w:t>
      </w:r>
      <w:r>
        <w:rPr>
          <w:rFonts w:hint="eastAsia"/>
          <w:color w:val="000000"/>
          <w:szCs w:val="21"/>
          <w:shd w:val="clear" w:color="auto" w:fill="FFFFFF"/>
        </w:rPr>
        <w:t>框中</w:t>
      </w: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选择</w:t>
      </w:r>
      <w:r>
        <w:rPr>
          <w:rFonts w:hint="eastAsia"/>
          <w:color w:val="000000"/>
          <w:szCs w:val="21"/>
          <w:shd w:val="clear" w:color="auto" w:fill="FFFFFF"/>
        </w:rPr>
        <w:t>可以审批绿色通道的角色</w:t>
      </w:r>
      <w:r>
        <w:rPr>
          <w:rFonts w:hint="eastAsia"/>
          <w:color w:val="000000"/>
          <w:szCs w:val="21"/>
          <w:shd w:val="clear" w:color="auto" w:fill="FFFFFF"/>
          <w:lang w:eastAsia="zh-CN"/>
        </w:rPr>
        <w:t>。</w:t>
      </w:r>
    </w:p>
    <w:p w14:paraId="5158BB61">
      <w:r>
        <w:drawing>
          <wp:inline distT="0" distB="0" distL="114300" distR="114300">
            <wp:extent cx="5268595" cy="1652905"/>
            <wp:effectExtent l="0" t="0" r="444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8A4BE">
      <w:pPr>
        <w:pStyle w:val="4"/>
        <w:bidi w:val="0"/>
        <w:rPr>
          <w:rFonts w:hint="default"/>
          <w:lang w:val="en-US" w:eastAsia="zh-CN"/>
        </w:rPr>
      </w:pPr>
      <w:bookmarkStart w:id="18" w:name="_Toc15376"/>
      <w:bookmarkStart w:id="19" w:name="_Toc144822257"/>
      <w:bookmarkStart w:id="20" w:name="_Toc28494"/>
      <w:bookmarkStart w:id="21" w:name="_Toc8872"/>
      <w:bookmarkStart w:id="22" w:name="_Toc144822252"/>
      <w:bookmarkStart w:id="23" w:name="_Toc25441"/>
      <w:bookmarkStart w:id="24" w:name="_Toc12227"/>
      <w:bookmarkStart w:id="25" w:name="_Toc25033"/>
      <w:bookmarkStart w:id="26" w:name="_Toc144822251"/>
      <w:bookmarkStart w:id="27" w:name="_Toc7401"/>
      <w:r>
        <w:rPr>
          <w:rFonts w:hint="eastAsia"/>
          <w:lang w:val="en-US" w:eastAsia="zh-CN"/>
        </w:rPr>
        <w:t>二、信息查看审批</w:t>
      </w:r>
      <w:bookmarkEnd w:id="18"/>
    </w:p>
    <w:p w14:paraId="7A38F898">
      <w:pPr>
        <w:pStyle w:val="5"/>
        <w:bidi w:val="0"/>
      </w:pPr>
      <w:bookmarkStart w:id="28" w:name="_Toc968"/>
      <w:r>
        <w:rPr>
          <w:rFonts w:hint="eastAsia"/>
          <w:lang w:val="en-US" w:eastAsia="zh-CN"/>
        </w:rPr>
        <w:t>1.</w:t>
      </w:r>
      <w:r>
        <w:rPr>
          <w:rFonts w:hint="eastAsia"/>
        </w:rPr>
        <w:t>学生基础信息</w:t>
      </w:r>
      <w:bookmarkEnd w:id="19"/>
      <w:bookmarkEnd w:id="20"/>
      <w:bookmarkEnd w:id="21"/>
      <w:bookmarkEnd w:id="28"/>
    </w:p>
    <w:p w14:paraId="7BD669C1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【查询部分】：可根据姓名/学号/电话、学院/专业/班级、状态进行单个条件查询或组合查询。</w:t>
      </w:r>
    </w:p>
    <w:p w14:paraId="7FFD9287">
      <w:pPr>
        <w:ind w:firstLine="560" w:firstLineChars="200"/>
      </w:pPr>
      <w:r>
        <w:rPr>
          <w:rFonts w:hint="eastAsia"/>
        </w:rPr>
        <w:t>【导出】：点击后导出学生基础信息。</w:t>
      </w:r>
    </w:p>
    <w:p w14:paraId="2A6F7901">
      <w:pPr>
        <w:ind w:firstLine="560" w:firstLineChars="200"/>
      </w:pPr>
      <w:r>
        <w:rPr>
          <w:rFonts w:hint="eastAsia"/>
        </w:rPr>
        <w:t>【查看】：点击后查看学生基本信息以及报道流程进行情况。</w:t>
      </w:r>
    </w:p>
    <w:p w14:paraId="7C14D1D5">
      <w:pPr>
        <w:ind w:firstLine="560" w:firstLineChars="200"/>
      </w:pPr>
      <w:r>
        <w:drawing>
          <wp:inline distT="0" distB="0" distL="114300" distR="114300">
            <wp:extent cx="5265420" cy="2127250"/>
            <wp:effectExtent l="0" t="0" r="11430" b="6350"/>
            <wp:docPr id="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F57BD">
      <w:pPr>
        <w:ind w:firstLine="560" w:firstLineChars="20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392680"/>
            <wp:effectExtent l="0" t="0" r="4445" b="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B1F6">
      <w:pPr>
        <w:pStyle w:val="5"/>
        <w:bidi w:val="0"/>
      </w:pPr>
      <w:bookmarkStart w:id="29" w:name="_Toc16604"/>
      <w:r>
        <w:rPr>
          <w:rFonts w:hint="eastAsia"/>
          <w:lang w:val="en-US" w:eastAsia="zh-CN"/>
        </w:rPr>
        <w:t>2.</w:t>
      </w:r>
      <w:r>
        <w:rPr>
          <w:rFonts w:hint="eastAsia"/>
        </w:rPr>
        <w:t>预报到信息</w:t>
      </w:r>
      <w:bookmarkEnd w:id="22"/>
      <w:bookmarkEnd w:id="23"/>
      <w:bookmarkEnd w:id="24"/>
      <w:bookmarkEnd w:id="29"/>
    </w:p>
    <w:p w14:paraId="5A969019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【查询部分】：可根据考生号/姓名；学院/专业/班级；刷脸结果、乘坐交通工具、层次进行组合或单个条件进行查询。</w:t>
      </w:r>
    </w:p>
    <w:p w14:paraId="105CCD00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【导出预报到信息】：点击“</w:t>
      </w:r>
      <w:r>
        <w:drawing>
          <wp:inline distT="0" distB="0" distL="114300" distR="114300">
            <wp:extent cx="1363980" cy="54102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639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”后导出预报到学生数据。</w:t>
      </w:r>
    </w:p>
    <w:p w14:paraId="5A59D2E5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【查看】：点击“</w:t>
      </w:r>
      <w:r>
        <w:drawing>
          <wp:inline distT="0" distB="0" distL="0" distR="0">
            <wp:extent cx="476250" cy="295275"/>
            <wp:effectExtent l="0" t="0" r="11430" b="9525"/>
            <wp:docPr id="3045936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59368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”后查看学生信息、人脸对比信息、到校信息。</w:t>
      </w:r>
    </w:p>
    <w:p w14:paraId="644FC874">
      <w:pPr>
        <w:spacing w:line="360" w:lineRule="auto"/>
        <w:ind w:firstLine="560" w:firstLineChars="200"/>
      </w:pPr>
      <w:r>
        <w:drawing>
          <wp:inline distT="0" distB="0" distL="114300" distR="114300">
            <wp:extent cx="5262880" cy="2051685"/>
            <wp:effectExtent l="0" t="0" r="13970" b="5715"/>
            <wp:docPr id="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0043E">
      <w:pPr>
        <w:spacing w:line="360" w:lineRule="auto"/>
        <w:ind w:firstLine="560" w:firstLineChars="200"/>
      </w:pPr>
      <w:r>
        <w:drawing>
          <wp:inline distT="0" distB="0" distL="114300" distR="114300">
            <wp:extent cx="5273040" cy="4273550"/>
            <wp:effectExtent l="0" t="0" r="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7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5E7FD">
      <w:pPr>
        <w:pStyle w:val="5"/>
        <w:bidi w:val="0"/>
      </w:pPr>
      <w:bookmarkStart w:id="30" w:name="_Toc8920"/>
      <w:r>
        <w:rPr>
          <w:rFonts w:hint="eastAsia"/>
          <w:lang w:val="en-US" w:eastAsia="zh-CN"/>
        </w:rPr>
        <w:t>3.</w:t>
      </w:r>
      <w:r>
        <w:rPr>
          <w:rFonts w:hint="eastAsia"/>
        </w:rPr>
        <w:t>绿色通道审批</w:t>
      </w:r>
      <w:bookmarkEnd w:id="25"/>
      <w:bookmarkEnd w:id="26"/>
      <w:bookmarkEnd w:id="27"/>
      <w:bookmarkEnd w:id="30"/>
    </w:p>
    <w:p w14:paraId="4B14F402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【查询部分】：可根据考生号/姓名；学院/专业/班级；审批状态进行组合或单个条件进行查询。</w:t>
      </w:r>
    </w:p>
    <w:p w14:paraId="05B9B874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【导出绿色通道审核结果】：点击“</w:t>
      </w:r>
      <w:r>
        <w:drawing>
          <wp:inline distT="0" distB="0" distL="114300" distR="114300">
            <wp:extent cx="1657350" cy="295275"/>
            <wp:effectExtent l="0" t="0" r="0" b="9525"/>
            <wp:docPr id="21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”后导出绿色通道学生数据。</w:t>
      </w:r>
    </w:p>
    <w:p w14:paraId="7C59F92E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【批量导出附件】：点击“</w:t>
      </w:r>
      <w:r>
        <w:drawing>
          <wp:inline distT="0" distB="0" distL="114300" distR="114300">
            <wp:extent cx="1152525" cy="266700"/>
            <wp:effectExtent l="0" t="0" r="9525" b="0"/>
            <wp:docPr id="21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”后导出附件包。</w:t>
      </w:r>
    </w:p>
    <w:p w14:paraId="4C5D72FC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【查看】：审批通过的生源地贷款信息点击后可查看详情以及审批结果。</w:t>
      </w:r>
    </w:p>
    <w:p w14:paraId="4F4C2783">
      <w:pPr>
        <w:ind w:firstLine="560" w:firstLineChars="200"/>
      </w:pPr>
      <w:r>
        <w:rPr>
          <w:rFonts w:hint="eastAsia"/>
          <w:color w:val="000000"/>
          <w:shd w:val="clear" w:color="auto" w:fill="FFFFFF"/>
        </w:rPr>
        <w:t>【审核】：具备审核的账号登录系统后可见此按钮，点击审核，查看学生信息、生源地附件，审核操作点击“</w:t>
      </w:r>
      <w:r>
        <w:drawing>
          <wp:inline distT="0" distB="0" distL="114300" distR="114300">
            <wp:extent cx="1771650" cy="390525"/>
            <wp:effectExtent l="0" t="0" r="0" b="9525"/>
            <wp:docPr id="21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”同意或者拒绝后填写审核意见后点击“</w:t>
      </w:r>
      <w:r>
        <w:drawing>
          <wp:inline distT="0" distB="0" distL="114300" distR="114300">
            <wp:extent cx="762000" cy="428625"/>
            <wp:effectExtent l="0" t="0" r="0" b="9525"/>
            <wp:docPr id="21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”保存完成审核。</w:t>
      </w:r>
    </w:p>
    <w:p w14:paraId="1629ACCD">
      <w:pPr>
        <w:pStyle w:val="3"/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2245" cy="2115820"/>
            <wp:effectExtent l="0" t="0" r="14605" b="177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52FD8">
      <w:pPr>
        <w:pStyle w:val="3"/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drawing>
          <wp:inline distT="0" distB="0" distL="114300" distR="114300">
            <wp:extent cx="5269230" cy="4850130"/>
            <wp:effectExtent l="0" t="0" r="762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85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3244A">
      <w:pPr>
        <w:pStyle w:val="3"/>
        <w:numPr>
          <w:ilvl w:val="0"/>
          <w:numId w:val="0"/>
        </w:numPr>
        <w:ind w:leftChars="0"/>
        <w:rPr>
          <w:rFonts w:hint="eastAsia" w:eastAsiaTheme="minorEastAsia"/>
          <w:lang w:eastAsia="zh-CN"/>
        </w:rPr>
      </w:pPr>
    </w:p>
    <w:p w14:paraId="622DF621">
      <w:pPr>
        <w:pStyle w:val="5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31" w:name="_Toc28519"/>
      <w:r>
        <w:rPr>
          <w:rFonts w:hint="eastAsia"/>
          <w:lang w:val="en-US" w:eastAsia="zh-CN"/>
        </w:rPr>
        <w:t>个人信息完善、学生等级信息汇总表、预到校时间、行程统计信息</w:t>
      </w:r>
      <w:bookmarkEnd w:id="31"/>
      <w:bookmarkStart w:id="53" w:name="_GoBack"/>
      <w:bookmarkEnd w:id="53"/>
    </w:p>
    <w:p w14:paraId="747A4EB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由学生移动端填写，提交后展示在此处</w:t>
      </w:r>
    </w:p>
    <w:p w14:paraId="6D651056">
      <w:pPr>
        <w:numPr>
          <w:ilvl w:val="0"/>
          <w:numId w:val="0"/>
        </w:numPr>
      </w:pPr>
      <w:r>
        <w:drawing>
          <wp:inline distT="0" distB="0" distL="114300" distR="114300">
            <wp:extent cx="5272405" cy="1567815"/>
            <wp:effectExtent l="0" t="0" r="4445" b="13335"/>
            <wp:docPr id="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B78EC">
      <w:pPr>
        <w:numPr>
          <w:ilvl w:val="0"/>
          <w:numId w:val="0"/>
        </w:numPr>
      </w:pPr>
      <w:r>
        <w:drawing>
          <wp:inline distT="0" distB="0" distL="114300" distR="114300">
            <wp:extent cx="5269865" cy="1796415"/>
            <wp:effectExtent l="0" t="0" r="6985" b="13335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8A575">
      <w:pPr>
        <w:numPr>
          <w:ilvl w:val="0"/>
          <w:numId w:val="0"/>
        </w:numPr>
      </w:pPr>
      <w:r>
        <w:drawing>
          <wp:inline distT="0" distB="0" distL="114300" distR="114300">
            <wp:extent cx="5272405" cy="1782445"/>
            <wp:effectExtent l="0" t="0" r="4445" b="8255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889A8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0975" cy="1813560"/>
            <wp:effectExtent l="0" t="0" r="15875" b="15240"/>
            <wp:docPr id="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8DDDF">
      <w:pPr>
        <w:pStyle w:val="4"/>
        <w:bidi w:val="0"/>
        <w:rPr>
          <w:rFonts w:hint="default"/>
          <w:lang w:val="en-US" w:eastAsia="zh-CN"/>
        </w:rPr>
      </w:pPr>
      <w:bookmarkStart w:id="32" w:name="_Toc14244"/>
      <w:bookmarkStart w:id="33" w:name="_Toc13667"/>
      <w:bookmarkStart w:id="34" w:name="_Toc25667"/>
      <w:bookmarkStart w:id="35" w:name="_Toc144822253"/>
      <w:r>
        <w:rPr>
          <w:rFonts w:hint="eastAsia"/>
          <w:lang w:val="en-US" w:eastAsia="zh-CN"/>
        </w:rPr>
        <w:t>三、采购设置</w:t>
      </w:r>
      <w:bookmarkEnd w:id="32"/>
    </w:p>
    <w:p w14:paraId="6C93F633">
      <w:pPr>
        <w:pStyle w:val="5"/>
        <w:bidi w:val="0"/>
      </w:pPr>
      <w:bookmarkStart w:id="36" w:name="_Toc1251"/>
      <w:r>
        <w:rPr>
          <w:rFonts w:hint="eastAsia"/>
          <w:lang w:val="en-US" w:eastAsia="zh-CN"/>
        </w:rPr>
        <w:t>1.</w:t>
      </w:r>
      <w:r>
        <w:rPr>
          <w:rFonts w:hint="eastAsia"/>
        </w:rPr>
        <w:t>物品信息</w:t>
      </w:r>
      <w:bookmarkEnd w:id="33"/>
      <w:bookmarkEnd w:id="34"/>
      <w:bookmarkEnd w:id="35"/>
      <w:bookmarkEnd w:id="36"/>
    </w:p>
    <w:p w14:paraId="3D70D778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【查询部分】：可根据物资名称进行查询。</w:t>
      </w:r>
    </w:p>
    <w:p w14:paraId="06A79EB8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【添加】：点击“</w:t>
      </w:r>
      <w:r>
        <w:drawing>
          <wp:inline distT="0" distB="0" distL="0" distR="0">
            <wp:extent cx="819150" cy="371475"/>
            <wp:effectExtent l="0" t="0" r="3810" b="9525"/>
            <wp:docPr id="118064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64030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可添加学生采购物品信息，选择物资类别，填写物资名称，填写物品对应规格（规格名称、规格描述、物资价格）可添加多个规格，上传物品图片，可配置是否必买（必买时，学生预报到时必须选择后才可进行下一步），点击保存后生效。</w:t>
      </w:r>
    </w:p>
    <w:p w14:paraId="5FFECBB6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【编辑】：编辑物资信息（与添加操作一致）。</w:t>
      </w:r>
    </w:p>
    <w:p w14:paraId="391C60B3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【删除】：删除物资信息。</w:t>
      </w:r>
    </w:p>
    <w:p w14:paraId="0B7A1B1F">
      <w:pPr>
        <w:ind w:firstLine="560" w:firstLineChars="200"/>
        <w:rPr>
          <w:rFonts w:hint="eastAsia"/>
          <w:color w:val="FF0000"/>
          <w:shd w:val="clear" w:color="auto" w:fill="FFFFFF"/>
        </w:rPr>
      </w:pPr>
      <w:r>
        <w:rPr>
          <w:rFonts w:hint="eastAsia"/>
          <w:color w:val="FF0000"/>
          <w:shd w:val="clear" w:color="auto" w:fill="FFFFFF"/>
        </w:rPr>
        <w:t>注：存在已经提交预报到的信息时，不可添加、编辑、删除。此页面为配置学生预报到选择物资的功能。</w:t>
      </w:r>
    </w:p>
    <w:p w14:paraId="08962884">
      <w:pPr>
        <w:ind w:firstLine="560" w:firstLineChars="200"/>
      </w:pPr>
      <w:r>
        <w:drawing>
          <wp:inline distT="0" distB="0" distL="114300" distR="114300">
            <wp:extent cx="5264150" cy="1553210"/>
            <wp:effectExtent l="0" t="0" r="12700" b="889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DC7FF">
      <w:pPr>
        <w:ind w:firstLine="560" w:firstLineChars="200"/>
        <w:rPr>
          <w:rFonts w:hint="eastAsia"/>
        </w:rPr>
      </w:pPr>
      <w:r>
        <w:drawing>
          <wp:inline distT="0" distB="0" distL="114300" distR="114300">
            <wp:extent cx="5151120" cy="5989320"/>
            <wp:effectExtent l="0" t="0" r="0" b="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51120" cy="598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2F83A">
      <w:pPr>
        <w:pStyle w:val="5"/>
        <w:bidi w:val="0"/>
      </w:pPr>
      <w:bookmarkStart w:id="37" w:name="_Toc144822254"/>
      <w:bookmarkStart w:id="38" w:name="_Toc18891"/>
      <w:bookmarkStart w:id="39" w:name="_Toc31344"/>
      <w:bookmarkStart w:id="40" w:name="_Toc23601"/>
      <w:r>
        <w:rPr>
          <w:rFonts w:hint="eastAsia"/>
          <w:lang w:val="en-US" w:eastAsia="zh-CN"/>
        </w:rPr>
        <w:t>2.</w:t>
      </w:r>
      <w:r>
        <w:rPr>
          <w:rFonts w:hint="eastAsia"/>
        </w:rPr>
        <w:t>采购统计</w:t>
      </w:r>
      <w:bookmarkEnd w:id="37"/>
      <w:bookmarkEnd w:id="38"/>
      <w:bookmarkEnd w:id="39"/>
      <w:bookmarkEnd w:id="40"/>
    </w:p>
    <w:p w14:paraId="348E8B86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【查询部分】：可根据学院/专业/班级和学生姓名进行单个条件查询或组合查询。</w:t>
      </w:r>
    </w:p>
    <w:p w14:paraId="5A1B8B07">
      <w:pPr>
        <w:ind w:firstLine="560" w:firstLineChars="200"/>
        <w:rPr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【导出】：点击“</w:t>
      </w:r>
      <w:r>
        <w:drawing>
          <wp:inline distT="0" distB="0" distL="0" distR="0">
            <wp:extent cx="685800" cy="266700"/>
            <wp:effectExtent l="0" t="0" r="0" b="7620"/>
            <wp:docPr id="21142105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210546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”导出学生采购信息。</w:t>
      </w:r>
    </w:p>
    <w:p w14:paraId="02A5C023">
      <w:pPr>
        <w:ind w:firstLine="560" w:firstLineChars="200"/>
        <w:rPr>
          <w:rFonts w:hint="eastAsia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【查看明细】：点击“</w:t>
      </w:r>
      <w:r>
        <w:drawing>
          <wp:inline distT="0" distB="0" distL="114300" distR="114300">
            <wp:extent cx="456565" cy="287655"/>
            <wp:effectExtent l="0" t="0" r="0" b="0"/>
            <wp:docPr id="1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0"/>
                    <pic:cNvPicPr>
                      <a:picLocks noChangeAspect="1"/>
                    </pic:cNvPicPr>
                  </pic:nvPicPr>
                  <pic:blipFill>
                    <a:blip r:embed="rId29"/>
                    <a:srcRect l="17920" t="26932" r="29056" b="18357"/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000000"/>
          <w:shd w:val="clear" w:color="auto" w:fill="FFFFFF"/>
        </w:rPr>
        <w:t>”后查看学生基本信息以及采购的物品信息。</w:t>
      </w:r>
    </w:p>
    <w:p w14:paraId="331E5934">
      <w:pPr>
        <w:ind w:firstLine="560" w:firstLineChars="200"/>
        <w:rPr>
          <w:rFonts w:hint="eastAsia"/>
          <w:color w:val="000000"/>
          <w:shd w:val="clear" w:color="auto" w:fill="FFFFFF"/>
        </w:rPr>
      </w:pPr>
      <w:r>
        <w:drawing>
          <wp:inline distT="0" distB="0" distL="114300" distR="114300">
            <wp:extent cx="5265420" cy="2132965"/>
            <wp:effectExtent l="0" t="0" r="11430" b="635"/>
            <wp:docPr id="3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3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73745">
      <w:pPr>
        <w:ind w:firstLine="560" w:firstLineChars="200"/>
      </w:pPr>
      <w:bookmarkStart w:id="41" w:name="_Toc144822259"/>
      <w:bookmarkStart w:id="42" w:name="_Toc19299"/>
      <w:bookmarkStart w:id="43" w:name="_Toc2586"/>
      <w:r>
        <w:drawing>
          <wp:inline distT="0" distB="0" distL="114300" distR="114300">
            <wp:extent cx="5272405" cy="2789555"/>
            <wp:effectExtent l="0" t="0" r="4445" b="10795"/>
            <wp:docPr id="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50039">
      <w:pPr>
        <w:pStyle w:val="4"/>
        <w:bidi w:val="0"/>
        <w:rPr>
          <w:rFonts w:hint="default"/>
          <w:lang w:val="en-US" w:eastAsia="zh-CN"/>
        </w:rPr>
      </w:pPr>
      <w:bookmarkStart w:id="44" w:name="_Toc18008"/>
      <w:r>
        <w:rPr>
          <w:rFonts w:hint="eastAsia"/>
          <w:lang w:val="en-US" w:eastAsia="zh-CN"/>
        </w:rPr>
        <w:t>四、资格审查</w:t>
      </w:r>
      <w:bookmarkEnd w:id="44"/>
    </w:p>
    <w:p w14:paraId="08B32CD8">
      <w:pPr>
        <w:numPr>
          <w:ilvl w:val="0"/>
          <w:numId w:val="2"/>
        </w:numPr>
        <w:ind w:left="160" w:leftChars="0" w:firstLine="0" w:firstLineChars="0"/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  <w:t>资格审查</w:t>
      </w:r>
    </w:p>
    <w:p w14:paraId="31C245E9">
      <w:pPr>
        <w:numPr>
          <w:ilvl w:val="0"/>
          <w:numId w:val="0"/>
        </w:numPr>
        <w:ind w:left="160" w:leftChars="0"/>
        <w:rPr>
          <w:rFonts w:hint="default" w:asciiTheme="minorAscii" w:hAnsiTheme="minorAscii" w:eastAsiaTheme="minorEastAsia" w:cstheme="minorBidi"/>
          <w:color w:val="000000"/>
          <w:kern w:val="2"/>
          <w:sz w:val="28"/>
          <w:szCs w:val="22"/>
          <w:shd w:val="clear" w:color="auto" w:fill="FFFFFF"/>
          <w:lang w:val="en-US" w:eastAsia="zh-CN" w:bidi="ar-SA"/>
        </w:rPr>
      </w:pPr>
      <w:r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Theme="minorAscii" w:hAnsiTheme="minorAscii" w:eastAsiaTheme="minorEastAsia" w:cstheme="minorBidi"/>
          <w:color w:val="000000"/>
          <w:kern w:val="2"/>
          <w:sz w:val="28"/>
          <w:szCs w:val="22"/>
          <w:shd w:val="clear" w:color="auto" w:fill="FFFFFF"/>
          <w:lang w:val="en-US" w:eastAsia="zh-CN" w:bidi="ar-SA"/>
        </w:rPr>
        <w:t>输入学生的考生号，查验学生信息，选择同意或者拒绝，点击提交，完成资格审查。</w:t>
      </w:r>
    </w:p>
    <w:p w14:paraId="536E6C54">
      <w:pPr>
        <w:numPr>
          <w:ilvl w:val="0"/>
          <w:numId w:val="0"/>
        </w:numPr>
        <w:rPr>
          <w:rFonts w:hint="default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</w:pPr>
    </w:p>
    <w:p w14:paraId="5D200AC8">
      <w:pPr>
        <w:pStyle w:val="3"/>
        <w:ind w:left="0" w:leftChars="0" w:firstLine="0" w:firstLineChars="0"/>
        <w:rPr>
          <w:rFonts w:hint="default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5271135" cy="2558415"/>
            <wp:effectExtent l="0" t="0" r="5715" b="133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5FCF3">
      <w:pPr>
        <w:numPr>
          <w:ilvl w:val="0"/>
          <w:numId w:val="2"/>
        </w:numPr>
        <w:tabs>
          <w:tab w:val="clear" w:pos="312"/>
        </w:tabs>
        <w:ind w:left="160" w:leftChars="0" w:firstLine="0" w:firstLineChars="0"/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ajorHAnsi" w:hAnsiTheme="majorHAnsi" w:eastAsiaTheme="majorEastAsia" w:cstheme="majorBidi"/>
          <w:b/>
          <w:bCs/>
          <w:kern w:val="2"/>
          <w:sz w:val="32"/>
          <w:szCs w:val="32"/>
          <w:lang w:val="en-US" w:eastAsia="zh-CN" w:bidi="ar-SA"/>
        </w:rPr>
        <w:t>资格审查记录</w:t>
      </w:r>
    </w:p>
    <w:p w14:paraId="495389CE">
      <w:pPr>
        <w:numPr>
          <w:ilvl w:val="0"/>
          <w:numId w:val="0"/>
        </w:numPr>
        <w:ind w:left="160" w:leftChars="0"/>
      </w:pPr>
      <w:r>
        <w:drawing>
          <wp:inline distT="0" distB="0" distL="114300" distR="114300">
            <wp:extent cx="5267960" cy="2205990"/>
            <wp:effectExtent l="0" t="0" r="5080" b="3810"/>
            <wp:docPr id="3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04B40">
      <w:pPr>
        <w:numPr>
          <w:ilvl w:val="0"/>
          <w:numId w:val="0"/>
        </w:numPr>
        <w:ind w:left="160"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653665"/>
            <wp:effectExtent l="0" t="0" r="635" b="13335"/>
            <wp:docPr id="3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5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C7362">
      <w:pPr>
        <w:pStyle w:val="4"/>
        <w:bidi w:val="0"/>
        <w:rPr>
          <w:rFonts w:hint="eastAsia"/>
          <w:lang w:val="en-US" w:eastAsia="zh-CN"/>
        </w:rPr>
      </w:pPr>
      <w:bookmarkStart w:id="45" w:name="_Toc28698"/>
      <w:r>
        <w:rPr>
          <w:rFonts w:hint="eastAsia"/>
          <w:lang w:val="en-US" w:eastAsia="zh-CN"/>
        </w:rPr>
        <w:t>五、迎新大屏</w:t>
      </w:r>
      <w:bookmarkEnd w:id="41"/>
      <w:bookmarkEnd w:id="42"/>
      <w:bookmarkEnd w:id="43"/>
      <w:bookmarkEnd w:id="45"/>
    </w:p>
    <w:p w14:paraId="76AA375F">
      <w:pPr>
        <w:pStyle w:val="3"/>
        <w:numPr>
          <w:ilvl w:val="0"/>
          <w:numId w:val="0"/>
        </w:numPr>
        <w:ind w:leftChars="0"/>
      </w:pPr>
      <w:r>
        <w:rPr>
          <w:rFonts w:hint="eastAsia"/>
          <w:color w:val="000000"/>
          <w:shd w:val="clear" w:color="auto" w:fill="FFFFFF"/>
        </w:rPr>
        <w:t>【迎新大屏】：点击后弹出迎新大屏页面。</w:t>
      </w:r>
      <w:bookmarkStart w:id="46" w:name="_Toc14337"/>
      <w:bookmarkStart w:id="47" w:name="_Toc7146"/>
      <w:bookmarkStart w:id="48" w:name="_Toc26533"/>
      <w:r>
        <w:drawing>
          <wp:inline distT="0" distB="0" distL="114300" distR="114300">
            <wp:extent cx="5271770" cy="2469515"/>
            <wp:effectExtent l="0" t="0" r="1270" b="1460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6"/>
      <w:bookmarkEnd w:id="47"/>
      <w:bookmarkEnd w:id="48"/>
    </w:p>
    <w:p w14:paraId="6F20DBFE">
      <w:pPr>
        <w:pStyle w:val="3"/>
        <w:numPr>
          <w:ilvl w:val="0"/>
          <w:numId w:val="0"/>
        </w:numPr>
        <w:ind w:leftChars="0"/>
      </w:pPr>
    </w:p>
    <w:p w14:paraId="7C4BA1AF">
      <w:pPr>
        <w:pStyle w:val="4"/>
        <w:bidi w:val="0"/>
        <w:rPr>
          <w:rFonts w:hint="eastAsia"/>
          <w:lang w:val="en-US" w:eastAsia="zh-CN"/>
        </w:rPr>
      </w:pPr>
      <w:bookmarkStart w:id="49" w:name="_Toc20708"/>
      <w:r>
        <w:rPr>
          <w:rFonts w:hint="eastAsia"/>
          <w:lang w:val="en-US" w:eastAsia="zh-CN"/>
        </w:rPr>
        <w:t>六、移动端</w:t>
      </w:r>
      <w:bookmarkEnd w:id="49"/>
    </w:p>
    <w:p w14:paraId="66ABD845">
      <w:pPr>
        <w:pStyle w:val="5"/>
        <w:bidi w:val="0"/>
        <w:rPr>
          <w:rFonts w:hint="default"/>
          <w:lang w:val="en-US" w:eastAsia="zh-CN"/>
        </w:rPr>
      </w:pPr>
      <w:bookmarkStart w:id="50" w:name="_Toc4170"/>
      <w:r>
        <w:rPr>
          <w:rFonts w:hint="eastAsia"/>
          <w:lang w:val="en-US" w:eastAsia="zh-CN"/>
        </w:rPr>
        <w:t>1.登录</w:t>
      </w:r>
      <w:bookmarkEnd w:id="50"/>
    </w:p>
    <w:p w14:paraId="73C28970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访问移动端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"https://xg.xjvu.edu.cn/yingxinH5/#/pages/login/index"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14"/>
          <w:rFonts w:hint="eastAsia"/>
          <w:lang w:val="en-US" w:eastAsia="zh-CN"/>
        </w:rPr>
        <w:t>https://xg.xjvu.edu.cn/yingxinH5/#/pages/login/index</w:t>
      </w:r>
      <w:r>
        <w:rPr>
          <w:rFonts w:hint="eastAsia"/>
          <w:lang w:val="en-US" w:eastAsia="zh-CN"/>
        </w:rPr>
        <w:fldChar w:fldCharType="end"/>
      </w:r>
    </w:p>
    <w:p w14:paraId="4392AABF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输入考生号和身份证后六位登录迎新系统</w:t>
      </w:r>
    </w:p>
    <w:p w14:paraId="5D9303C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登录成功后跳转至迎新首页</w:t>
      </w:r>
    </w:p>
    <w:p w14:paraId="278B147C">
      <w:pPr>
        <w:pStyle w:val="3"/>
      </w:pPr>
      <w:r>
        <w:drawing>
          <wp:inline distT="0" distB="0" distL="114300" distR="114300">
            <wp:extent cx="2461260" cy="5019675"/>
            <wp:effectExtent l="0" t="0" r="15240" b="952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6126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09190" cy="5008880"/>
            <wp:effectExtent l="0" t="0" r="10160" b="1270"/>
            <wp:docPr id="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500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91A27">
      <w:pPr>
        <w:pStyle w:val="5"/>
        <w:numPr>
          <w:ilvl w:val="0"/>
          <w:numId w:val="0"/>
        </w:numPr>
        <w:bidi w:val="0"/>
        <w:ind w:left="160" w:leftChars="0"/>
        <w:rPr>
          <w:rFonts w:hint="eastAsia"/>
          <w:lang w:val="en-US" w:eastAsia="zh-CN"/>
        </w:rPr>
      </w:pPr>
      <w:bookmarkStart w:id="51" w:name="_Toc30967"/>
      <w:r>
        <w:rPr>
          <w:rFonts w:hint="eastAsia"/>
          <w:lang w:val="en-US" w:eastAsia="zh-CN"/>
        </w:rPr>
        <w:t>2.办理事项</w:t>
      </w:r>
      <w:bookmarkEnd w:id="51"/>
    </w:p>
    <w:p w14:paraId="3307713A">
      <w:pPr>
        <w:numPr>
          <w:ilvl w:val="0"/>
          <w:numId w:val="0"/>
        </w:numPr>
        <w:ind w:left="160"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分别进入人脸采集、个人信息完善、行程信息统计、校服规格登记、查看宿舍进行识别和填报登记</w:t>
      </w:r>
    </w:p>
    <w:p w14:paraId="5C12A405">
      <w:pPr>
        <w:numPr>
          <w:ilvl w:val="0"/>
          <w:numId w:val="0"/>
        </w:numPr>
        <w:ind w:left="160" w:leftChars="0"/>
      </w:pPr>
      <w:r>
        <w:drawing>
          <wp:inline distT="0" distB="0" distL="114300" distR="114300">
            <wp:extent cx="2505075" cy="5010150"/>
            <wp:effectExtent l="0" t="0" r="9525" b="0"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7630" cy="4967605"/>
            <wp:effectExtent l="0" t="0" r="1270" b="4445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27630" cy="496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73960" cy="4998085"/>
            <wp:effectExtent l="0" t="0" r="2540" b="12065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73960" cy="499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28875" cy="5000625"/>
            <wp:effectExtent l="0" t="0" r="9525" b="952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E2780">
      <w:pPr>
        <w:numPr>
          <w:ilvl w:val="0"/>
          <w:numId w:val="0"/>
        </w:numPr>
        <w:ind w:left="160" w:leftChars="0"/>
      </w:pPr>
      <w:r>
        <w:drawing>
          <wp:inline distT="0" distB="0" distL="114300" distR="114300">
            <wp:extent cx="2522220" cy="4881245"/>
            <wp:effectExtent l="0" t="0" r="11430" b="14605"/>
            <wp:docPr id="3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488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8730" cy="4906010"/>
            <wp:effectExtent l="0" t="0" r="1397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490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428E0">
      <w:pPr>
        <w:pStyle w:val="5"/>
        <w:numPr>
          <w:ilvl w:val="0"/>
          <w:numId w:val="2"/>
        </w:numPr>
        <w:bidi w:val="0"/>
        <w:ind w:left="160" w:leftChars="0" w:firstLine="0" w:firstLineChars="0"/>
        <w:rPr>
          <w:rFonts w:hint="eastAsia"/>
          <w:lang w:val="en-US" w:eastAsia="zh-CN"/>
        </w:rPr>
      </w:pPr>
      <w:bookmarkStart w:id="52" w:name="_Toc9666"/>
      <w:r>
        <w:rPr>
          <w:rFonts w:hint="eastAsia"/>
          <w:lang w:val="en-US" w:eastAsia="zh-CN"/>
        </w:rPr>
        <w:t>我的</w:t>
      </w:r>
      <w:bookmarkEnd w:id="52"/>
    </w:p>
    <w:p w14:paraId="6D1879D1">
      <w:pPr>
        <w:numPr>
          <w:ilvl w:val="0"/>
          <w:numId w:val="0"/>
        </w:numPr>
        <w:ind w:left="1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我的页面展示我的信息详情</w:t>
      </w:r>
    </w:p>
    <w:p w14:paraId="61DFCBD5">
      <w:pPr>
        <w:numPr>
          <w:ilvl w:val="0"/>
          <w:numId w:val="0"/>
        </w:numPr>
        <w:ind w:left="160"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922905" cy="5585460"/>
            <wp:effectExtent l="0" t="0" r="10795" b="15240"/>
            <wp:docPr id="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558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8923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3FF22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3FF22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D673A9"/>
    <w:multiLevelType w:val="singleLevel"/>
    <w:tmpl w:val="84D673A9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8D73090"/>
    <w:multiLevelType w:val="singleLevel"/>
    <w:tmpl w:val="98D730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16D97"/>
    <w:rsid w:val="01152AA6"/>
    <w:rsid w:val="016A3A18"/>
    <w:rsid w:val="0219103C"/>
    <w:rsid w:val="076916EC"/>
    <w:rsid w:val="0AD96F7B"/>
    <w:rsid w:val="0CA27F6D"/>
    <w:rsid w:val="0CF06F2A"/>
    <w:rsid w:val="10700AA5"/>
    <w:rsid w:val="15A3368D"/>
    <w:rsid w:val="1719615A"/>
    <w:rsid w:val="172833F8"/>
    <w:rsid w:val="18BF6AF5"/>
    <w:rsid w:val="1C050B41"/>
    <w:rsid w:val="1C416D97"/>
    <w:rsid w:val="1CF36982"/>
    <w:rsid w:val="229521D2"/>
    <w:rsid w:val="26F86CAF"/>
    <w:rsid w:val="293B7327"/>
    <w:rsid w:val="2AFA6B7B"/>
    <w:rsid w:val="2C9805ED"/>
    <w:rsid w:val="2F0F2DE8"/>
    <w:rsid w:val="2F6F7D2B"/>
    <w:rsid w:val="3B464AC5"/>
    <w:rsid w:val="3D005726"/>
    <w:rsid w:val="40800ECA"/>
    <w:rsid w:val="425A03C6"/>
    <w:rsid w:val="459448F4"/>
    <w:rsid w:val="4A092BC6"/>
    <w:rsid w:val="4AC20A22"/>
    <w:rsid w:val="4B1650A7"/>
    <w:rsid w:val="4DF07E31"/>
    <w:rsid w:val="4FC926E8"/>
    <w:rsid w:val="52F4079B"/>
    <w:rsid w:val="53F8675C"/>
    <w:rsid w:val="540C7047"/>
    <w:rsid w:val="54F41445"/>
    <w:rsid w:val="59417793"/>
    <w:rsid w:val="5F546472"/>
    <w:rsid w:val="601B6F8F"/>
    <w:rsid w:val="62752C1C"/>
    <w:rsid w:val="62B2525D"/>
    <w:rsid w:val="63365E8E"/>
    <w:rsid w:val="6813679E"/>
    <w:rsid w:val="682D159C"/>
    <w:rsid w:val="69CB7958"/>
    <w:rsid w:val="6C2C42D2"/>
    <w:rsid w:val="6F9D176F"/>
    <w:rsid w:val="702A6D7B"/>
    <w:rsid w:val="71463740"/>
    <w:rsid w:val="737F73DD"/>
    <w:rsid w:val="79036E88"/>
    <w:rsid w:val="7C2542FF"/>
    <w:rsid w:val="7D63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pPr>
      <w:spacing w:line="300" w:lineRule="auto"/>
    </w:pPr>
    <w:rPr>
      <w:rFonts w:ascii="宋体" w:hAnsi="Courier New" w:cs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</w:style>
  <w:style w:type="paragraph" w:styleId="11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Char Char Char Char1 Char Char Char Char Char Char"/>
    <w:basedOn w:val="1"/>
    <w:qFormat/>
    <w:uiPriority w:val="0"/>
    <w:rPr>
      <w:rFonts w:ascii="Tahoma" w:hAnsi="Tahoma" w:eastAsia="宋体" w:cs="Arial"/>
      <w:sz w:val="24"/>
      <w:szCs w:val="20"/>
    </w:rPr>
  </w:style>
  <w:style w:type="paragraph" w:customStyle="1" w:styleId="16">
    <w:name w:val="目录/修订_标题"/>
    <w:basedOn w:val="1"/>
    <w:qFormat/>
    <w:uiPriority w:val="0"/>
    <w:pPr>
      <w:pageBreakBefore/>
      <w:spacing w:beforeLines="100" w:afterLines="100" w:line="300" w:lineRule="auto"/>
      <w:jc w:val="center"/>
    </w:pPr>
    <w:rPr>
      <w:rFonts w:ascii="Times New Roman" w:hAnsi="Times New Roman" w:eastAsia="微软雅黑" w:cs="宋体"/>
      <w:b/>
      <w:bCs/>
      <w:spacing w:val="20"/>
      <w:sz w:val="30"/>
      <w:szCs w:val="20"/>
    </w:rPr>
  </w:style>
  <w:style w:type="paragraph" w:customStyle="1" w:styleId="17">
    <w:name w:val="表格栏目"/>
    <w:basedOn w:val="1"/>
    <w:qFormat/>
    <w:uiPriority w:val="0"/>
    <w:pPr>
      <w:adjustRightInd w:val="0"/>
      <w:snapToGrid w:val="0"/>
      <w:spacing w:before="40" w:after="40" w:line="300" w:lineRule="auto"/>
      <w:jc w:val="center"/>
    </w:pPr>
    <w:rPr>
      <w:rFonts w:ascii="宋体" w:hAnsi="Times New Roman" w:eastAsia="黑体"/>
      <w:b/>
      <w:bCs/>
      <w:szCs w:val="24"/>
    </w:rPr>
  </w:style>
  <w:style w:type="paragraph" w:customStyle="1" w:styleId="18">
    <w:name w:val="表体文字（居中）"/>
    <w:basedOn w:val="1"/>
    <w:qFormat/>
    <w:uiPriority w:val="0"/>
    <w:pPr>
      <w:spacing w:line="300" w:lineRule="auto"/>
      <w:jc w:val="center"/>
    </w:pPr>
    <w:rPr>
      <w:rFonts w:ascii="Times New Roman" w:hAnsi="Times New Roman" w:cs="宋体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181</Words>
  <Characters>202</Characters>
  <Lines>0</Lines>
  <Paragraphs>0</Paragraphs>
  <TotalTime>28</TotalTime>
  <ScaleCrop>false</ScaleCrop>
  <LinksUpToDate>false</LinksUpToDate>
  <CharactersWithSpaces>223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2023-10-23T08:36:00Z</dcterms:created>
  <dc:creator>hexin</dc:creator>
  <cp:lastModifiedBy>晴天</cp:lastModifiedBy>
  <dcterms:modified xsi:type="dcterms:W3CDTF">2025-12-25T02:05:51Z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eyJoZGlkIjoiMmVmZTIzNjJiMWJiZjI2ZDZiOTJhZWE2MDk0Y2I2YzYiLCJ1c2VySWQiOiIxMTUwMTI1NTE5In0=</vt:lpwstr>
  </property>
  <property fmtid="{D5CDD505-2E9C-101B-9397-08002B2CF9AE}" pid="4" name="ICV">
    <vt:lpwstr>4C9B99C6C4624127AF445E50949AAEF9_12</vt:lpwstr>
  </property>
</Properties>
</file>