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pageBreakBefore w:val="0"/>
        <w:widowControl/>
        <w:suppressLineNumbers w:val="0"/>
        <w:wordWrap/>
        <w:overflowPunct/>
        <w:topLinePunct w:val="0"/>
        <w:autoSpaceDE/>
        <w:autoSpaceDN/>
        <w:bidi w:val="0"/>
        <w:snapToGrid/>
        <w:spacing w:before="0" w:beforeAutospacing="0" w:afterAutospacing="0"/>
        <w:jc w:val="center"/>
        <w:rPr>
          <w:rStyle w:val="7"/>
          <w:rFonts w:hint="eastAsia" w:ascii="方正小标宋_GBK" w:hAnsi="方正小标宋_GBK" w:eastAsia="方正小标宋_GBK"/>
          <w:i w:val="0"/>
          <w:color w:val="404040"/>
          <w:spacing w:val="0"/>
          <w:sz w:val="44"/>
        </w:rPr>
      </w:pPr>
      <w:r>
        <w:rPr>
          <w:rStyle w:val="7"/>
          <w:rFonts w:hint="eastAsia" w:ascii="方正小标宋_GBK" w:hAnsi="方正小标宋_GBK" w:eastAsia="方正小标宋_GBK"/>
          <w:i w:val="0"/>
          <w:color w:val="404040"/>
          <w:spacing w:val="0"/>
          <w:sz w:val="44"/>
        </w:rPr>
        <w:t>新疆职业大学助力青河县产业经济高质量发展</w:t>
      </w:r>
    </w:p>
    <w:p>
      <w:pPr>
        <w:pStyle w:val="6"/>
        <w:keepNext w:val="0"/>
        <w:keepLines w:val="0"/>
        <w:pageBreakBefore w:val="0"/>
        <w:widowControl/>
        <w:suppressLineNumbers w:val="0"/>
        <w:kinsoku/>
        <w:wordWrap/>
        <w:overflowPunct/>
        <w:topLinePunct w:val="0"/>
        <w:autoSpaceDE/>
        <w:autoSpaceDN/>
        <w:bidi w:val="0"/>
        <w:snapToGrid/>
        <w:spacing w:before="0" w:beforeAutospacing="0" w:afterAutospacing="0"/>
        <w:jc w:val="center"/>
        <w:rPr>
          <w:rStyle w:val="7"/>
          <w:rFonts w:hint="eastAsia" w:ascii="方正小标宋_GBK" w:hAnsi="方正小标宋_GBK" w:eastAsia="方正小标宋_GBK"/>
          <w:i w:val="0"/>
          <w:iCs w:val="0"/>
          <w:color w:val="404040"/>
          <w:spacing w:val="0"/>
          <w:sz w:val="44"/>
          <w:szCs w:val="44"/>
        </w:rPr>
      </w:pPr>
      <w:r>
        <w:rPr>
          <w:rStyle w:val="7"/>
          <w:rFonts w:hint="eastAsia" w:ascii="方正小标宋_GBK" w:hAnsi="方正小标宋_GBK" w:eastAsia="方正小标宋_GBK"/>
          <w:i w:val="0"/>
          <w:iCs w:val="0"/>
          <w:color w:val="404040"/>
          <w:spacing w:val="0"/>
          <w:sz w:val="44"/>
          <w:szCs w:val="44"/>
        </w:rPr>
        <w:t>——我校公共管理学院圆满承办青河县“青格里”大讲堂第四期培训</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rPr>
          <w:rFonts w:hint="eastAsia" w:ascii="仿宋_GB2312" w:hAnsi="仿宋_GB2312" w:eastAsia="仿宋_GB2312"/>
          <w:i w:val="0"/>
          <w:iCs w:val="0"/>
          <w:color w:val="404040"/>
          <w:spacing w:val="0"/>
          <w:sz w:val="32"/>
          <w:szCs w:val="32"/>
          <w:lang w:eastAsia="zh-CN"/>
        </w:rPr>
      </w:pPr>
      <w:r>
        <w:rPr>
          <w:rFonts w:hint="eastAsia" w:ascii="仿宋_GB2312" w:hAnsi="仿宋_GB2312" w:eastAsia="仿宋_GB2312"/>
          <w:i w:val="0"/>
          <w:iCs w:val="0"/>
          <w:color w:val="404040"/>
          <w:spacing w:val="0"/>
          <w:sz w:val="32"/>
          <w:szCs w:val="32"/>
          <w:lang w:eastAsia="zh-CN"/>
        </w:rPr>
        <w:drawing>
          <wp:anchor distT="0" distB="0" distL="0" distR="0" simplePos="0" relativeHeight="251660288" behindDoc="1" locked="0" layoutInCell="1" allowOverlap="1">
            <wp:simplePos x="0" y="0"/>
            <wp:positionH relativeFrom="column">
              <wp:posOffset>6350</wp:posOffset>
            </wp:positionH>
            <wp:positionV relativeFrom="paragraph">
              <wp:posOffset>3921760</wp:posOffset>
            </wp:positionV>
            <wp:extent cx="5554345" cy="2475865"/>
            <wp:effectExtent l="0" t="0" r="8255" b="0"/>
            <wp:wrapTight wrapText="bothSides">
              <wp:wrapPolygon>
                <wp:start x="0" y="0"/>
                <wp:lineTo x="0" y="21439"/>
                <wp:lineTo x="21558" y="21439"/>
                <wp:lineTo x="21558" y="0"/>
                <wp:lineTo x="0" y="0"/>
              </wp:wrapPolygon>
            </wp:wrapTight>
            <wp:docPr id="1" name="_x0000_s1028"/>
            <wp:cNvGraphicFramePr/>
            <a:graphic xmlns:a="http://schemas.openxmlformats.org/drawingml/2006/main">
              <a:graphicData uri="http://schemas.openxmlformats.org/drawingml/2006/picture">
                <pic:pic xmlns:pic="http://schemas.openxmlformats.org/drawingml/2006/picture">
                  <pic:nvPicPr>
                    <pic:cNvPr id="1" name="_x0000_s1028"/>
                    <pic:cNvPicPr/>
                  </pic:nvPicPr>
                  <pic:blipFill>
                    <a:blip r:embed="rId4"/>
                    <a:srcRect b="18601"/>
                    <a:stretch>
                      <a:fillRect/>
                    </a:stretch>
                  </pic:blipFill>
                  <pic:spPr>
                    <a:xfrm>
                      <a:off x="0" y="0"/>
                      <a:ext cx="5554345" cy="2475865"/>
                    </a:xfrm>
                    <a:prstGeom prst="rect">
                      <a:avLst/>
                    </a:prstGeom>
                  </pic:spPr>
                </pic:pic>
              </a:graphicData>
            </a:graphic>
          </wp:anchor>
        </w:drawing>
      </w:r>
      <w:r>
        <w:rPr>
          <w:rFonts w:hint="eastAsia" w:ascii="仿宋_GB2312" w:hAnsi="仿宋_GB2312" w:eastAsia="仿宋_GB2312"/>
          <w:i w:val="0"/>
          <w:color w:val="404040"/>
          <w:spacing w:val="0"/>
          <w:sz w:val="32"/>
        </w:rPr>
        <w:t>2025年3月17日--19日，由中共青河县委员会组织部主办，新疆职业大学公共管理学院承办的《青河县国有企业领导人员履职能力提升及运营管理专题讲座》培训圆满结束。</w:t>
      </w:r>
      <w:r>
        <w:rPr>
          <w:rFonts w:hint="eastAsia" w:ascii="仿宋_GB2312" w:hAnsi="仿宋_GB2312" w:eastAsia="仿宋_GB2312"/>
          <w:i w:val="0"/>
          <w:iCs w:val="0"/>
          <w:color w:val="404040"/>
          <w:spacing w:val="0"/>
          <w:sz w:val="32"/>
          <w:szCs w:val="32"/>
        </w:rPr>
        <w:t>此次培训分为前期访谈调研、考察座谈，现场讲座三个环节。其中现场讲座聚焦青河县国有平台面临的资产存量盘活、产业招商引资等核心问题，通过引入国内顶尖专家进行培训，为县域经济转型升级提供智力支持。新疆职业大学公共管理学院</w:t>
      </w:r>
      <w:r>
        <w:rPr>
          <w:rFonts w:hint="eastAsia" w:ascii="仿宋_GB2312" w:hAnsi="仿宋_GB2312" w:eastAsia="仿宋_GB2312"/>
          <w:i w:val="0"/>
          <w:iCs w:val="0"/>
          <w:color w:val="404040"/>
          <w:spacing w:val="0"/>
          <w:sz w:val="32"/>
          <w:szCs w:val="32"/>
          <w:lang w:eastAsia="zh-CN"/>
        </w:rPr>
        <w:t>党总支副</w:t>
      </w:r>
      <w:r>
        <w:rPr>
          <w:rFonts w:hint="eastAsia" w:ascii="仿宋_GB2312" w:hAnsi="仿宋_GB2312" w:eastAsia="仿宋_GB2312"/>
          <w:i w:val="0"/>
          <w:iCs w:val="0"/>
          <w:color w:val="404040"/>
          <w:spacing w:val="0"/>
          <w:sz w:val="32"/>
          <w:szCs w:val="32"/>
        </w:rPr>
        <w:t>书记</w:t>
      </w:r>
      <w:r>
        <w:rPr>
          <w:rFonts w:hint="eastAsia" w:ascii="仿宋_GB2312" w:hAnsi="仿宋_GB2312" w:eastAsia="仿宋_GB2312"/>
          <w:i w:val="0"/>
          <w:iCs w:val="0"/>
          <w:color w:val="404040"/>
          <w:spacing w:val="0"/>
          <w:sz w:val="32"/>
          <w:szCs w:val="32"/>
          <w:lang w:eastAsia="zh-CN"/>
        </w:rPr>
        <w:t>郭芳、专任教师厉荣副教授以及</w:t>
      </w:r>
      <w:r>
        <w:rPr>
          <w:rFonts w:hint="eastAsia" w:ascii="仿宋_GB2312" w:hAnsi="仿宋_GB2312" w:eastAsia="仿宋_GB2312"/>
          <w:i w:val="0"/>
          <w:iCs w:val="0"/>
          <w:color w:val="404040"/>
          <w:spacing w:val="0"/>
          <w:sz w:val="32"/>
          <w:szCs w:val="32"/>
        </w:rPr>
        <w:t>北京和君恒成企业顾问集团专家团队全程参与活动，与县委县政府相府相关领导、青河县组织部、五家国有平台公司董事长、总经理等领导</w:t>
      </w:r>
      <w:r>
        <w:rPr>
          <w:rFonts w:hint="eastAsia" w:ascii="仿宋_GB2312" w:hAnsi="仿宋_GB2312" w:eastAsia="仿宋_GB2312"/>
          <w:i w:val="0"/>
          <w:iCs w:val="0"/>
          <w:color w:val="404040"/>
          <w:spacing w:val="0"/>
          <w:sz w:val="32"/>
          <w:szCs w:val="32"/>
          <w:lang w:eastAsia="zh-CN"/>
        </w:rPr>
        <w:t>班子</w:t>
      </w:r>
      <w:r>
        <w:rPr>
          <w:rFonts w:hint="eastAsia" w:ascii="仿宋_GB2312" w:hAnsi="仿宋_GB2312" w:eastAsia="仿宋_GB2312"/>
          <w:i w:val="0"/>
          <w:iCs w:val="0"/>
          <w:color w:val="404040"/>
          <w:spacing w:val="0"/>
          <w:sz w:val="32"/>
          <w:szCs w:val="32"/>
        </w:rPr>
        <w:t>成员及领导干部、乡镇领导等进行深入学习交流，共同探讨国企改革发展新路径。</w:t>
      </w:r>
    </w:p>
    <w:p>
      <w:pPr>
        <w:pStyle w:val="6"/>
        <w:keepNext w:val="0"/>
        <w:keepLines w:val="0"/>
        <w:pageBreakBefore w:val="0"/>
        <w:widowControl/>
        <w:suppressLineNumbers w:val="0"/>
        <w:kinsoku/>
        <w:wordWrap/>
        <w:overflowPunct/>
        <w:topLinePunct w:val="0"/>
        <w:autoSpaceDE/>
        <w:autoSpaceDN/>
        <w:bidi w:val="0"/>
        <w:snapToGrid/>
        <w:spacing w:beforeAutospacing="0" w:afterAutospacing="0" w:line="560" w:lineRule="exact"/>
        <w:ind w:left="0" w:firstLine="640" w:firstLineChars="200"/>
        <w:jc w:val="center"/>
        <w:rPr>
          <w:rFonts w:hint="eastAsia" w:ascii="仿宋_GB2312" w:hAnsi="仿宋_GB2312" w:eastAsia="仿宋_GB2312"/>
          <w:i w:val="0"/>
          <w:iCs w:val="0"/>
          <w:color w:val="404040"/>
          <w:spacing w:val="0"/>
          <w:sz w:val="32"/>
          <w:szCs w:val="32"/>
          <w:lang w:eastAsia="zh-CN"/>
        </w:rPr>
      </w:pPr>
      <w:r>
        <w:rPr>
          <w:rFonts w:hint="eastAsia" w:ascii="仿宋_GB2312" w:hAnsi="仿宋_GB2312" w:eastAsia="仿宋_GB2312"/>
          <w:i w:val="0"/>
          <w:iCs w:val="0"/>
          <w:color w:val="404040"/>
          <w:spacing w:val="0"/>
          <w:sz w:val="32"/>
          <w:szCs w:val="32"/>
          <w:lang w:eastAsia="zh-CN"/>
        </w:rPr>
        <w:t>（“青格里”大讲堂第四期</w:t>
      </w:r>
      <w:r>
        <w:rPr>
          <w:rFonts w:hint="eastAsia" w:ascii="仿宋_GB2312" w:hAnsi="仿宋_GB2312" w:eastAsia="仿宋_GB2312"/>
          <w:i w:val="0"/>
          <w:iCs w:val="0"/>
          <w:color w:val="404040"/>
          <w:spacing w:val="0"/>
          <w:sz w:val="32"/>
          <w:szCs w:val="32"/>
          <w:lang w:val="en-US" w:eastAsia="zh-CN"/>
        </w:rPr>
        <w:t>培训现场照片）</w:t>
      </w:r>
    </w:p>
    <w:p>
      <w:pPr>
        <w:pStyle w:val="6"/>
        <w:keepNext w:val="0"/>
        <w:keepLines w:val="0"/>
        <w:pageBreakBefore w:val="0"/>
        <w:widowControl/>
        <w:suppressLineNumbers w:val="0"/>
        <w:kinsoku/>
        <w:wordWrap/>
        <w:overflowPunct/>
        <w:topLinePunct w:val="0"/>
        <w:autoSpaceDE/>
        <w:autoSpaceDN/>
        <w:bidi w:val="0"/>
        <w:snapToGrid/>
        <w:spacing w:beforeAutospacing="0" w:afterAutospacing="0" w:line="560" w:lineRule="exact"/>
        <w:ind w:left="0" w:firstLine="640" w:firstLineChars="200"/>
        <w:rPr>
          <w:rFonts w:hint="eastAsia" w:ascii="仿宋_GB2312" w:hAnsi="仿宋_GB2312" w:eastAsia="仿宋_GB2312"/>
          <w:i w:val="0"/>
          <w:iCs w:val="0"/>
          <w:color w:val="404040"/>
          <w:spacing w:val="0"/>
          <w:sz w:val="32"/>
          <w:szCs w:val="32"/>
        </w:rPr>
      </w:pPr>
      <w:r>
        <w:rPr>
          <w:rFonts w:hint="eastAsia" w:ascii="仿宋_GB2312" w:hAnsi="仿宋_GB2312" w:eastAsia="仿宋_GB2312"/>
          <w:i w:val="0"/>
          <w:iCs w:val="0"/>
          <w:color w:val="404040"/>
          <w:spacing w:val="0"/>
          <w:sz w:val="32"/>
          <w:szCs w:val="32"/>
          <w:lang w:val="en-US" w:eastAsia="zh-CN"/>
        </w:rPr>
        <w:t>活动伊始，</w:t>
      </w:r>
      <w:r>
        <w:rPr>
          <w:rFonts w:hint="eastAsia" w:ascii="仿宋_GB2312" w:hAnsi="仿宋_GB2312" w:eastAsia="仿宋_GB2312"/>
          <w:i w:val="0"/>
          <w:iCs w:val="0"/>
          <w:color w:val="404040"/>
          <w:spacing w:val="0"/>
          <w:sz w:val="32"/>
          <w:szCs w:val="32"/>
        </w:rPr>
        <w:t>青河县组织部部长张征同志强调，此次培训是县委推动国企改革纵深发展的重要抓手，旨在通过系统性能力提升，破解当前国企转型中的瓶颈问题。新疆职业大学和专家团队带来的前沿方法论及国内县域级国有平台公司改革成功案例，为青河县从“融资依赖型”向“产业运营商”转型提供了参考建议。</w:t>
      </w:r>
    </w:p>
    <w:p>
      <w:pPr>
        <w:pStyle w:val="6"/>
        <w:keepNext w:val="0"/>
        <w:keepLines w:val="0"/>
        <w:pageBreakBefore w:val="0"/>
        <w:widowControl/>
        <w:suppressLineNumbers w:val="0"/>
        <w:kinsoku/>
        <w:wordWrap/>
        <w:overflowPunct/>
        <w:topLinePunct w:val="0"/>
        <w:autoSpaceDE/>
        <w:autoSpaceDN/>
        <w:bidi w:val="0"/>
        <w:snapToGrid/>
        <w:spacing w:beforeAutospacing="0" w:afterAutospacing="0" w:line="560" w:lineRule="exact"/>
        <w:ind w:left="0" w:firstLine="640" w:firstLineChars="200"/>
        <w:rPr>
          <w:rFonts w:hint="eastAsia" w:ascii="仿宋_GB2312" w:hAnsi="仿宋_GB2312" w:eastAsia="仿宋_GB2312"/>
          <w:i w:val="0"/>
          <w:iCs w:val="0"/>
          <w:color w:val="404040"/>
          <w:spacing w:val="0"/>
          <w:sz w:val="32"/>
          <w:szCs w:val="32"/>
          <w:lang w:val="en-US" w:eastAsia="zh-CN"/>
        </w:rPr>
      </w:pPr>
      <w:r>
        <w:rPr>
          <w:rFonts w:hint="eastAsia" w:ascii="仿宋_GB2312" w:hAnsi="仿宋_GB2312" w:eastAsia="仿宋_GB2312"/>
          <w:i w:val="0"/>
          <w:iCs w:val="0"/>
          <w:color w:val="404040"/>
          <w:spacing w:val="0"/>
          <w:sz w:val="32"/>
          <w:szCs w:val="32"/>
          <w:lang w:val="en-US" w:eastAsia="zh-CN"/>
        </w:rPr>
        <w:drawing>
          <wp:anchor distT="0" distB="0" distL="0" distR="0" simplePos="0" relativeHeight="251659264" behindDoc="1" locked="0" layoutInCell="1" allowOverlap="1">
            <wp:simplePos x="0" y="0"/>
            <wp:positionH relativeFrom="column">
              <wp:posOffset>10795</wp:posOffset>
            </wp:positionH>
            <wp:positionV relativeFrom="paragraph">
              <wp:posOffset>83820</wp:posOffset>
            </wp:positionV>
            <wp:extent cx="5623560" cy="2863850"/>
            <wp:effectExtent l="0" t="0" r="15240" b="12700"/>
            <wp:wrapTight wrapText="bothSides">
              <wp:wrapPolygon>
                <wp:start x="21592" y="-2"/>
                <wp:lineTo x="0" y="0"/>
                <wp:lineTo x="0" y="21600"/>
                <wp:lineTo x="21592" y="21602"/>
                <wp:lineTo x="8" y="21602"/>
                <wp:lineTo x="21600" y="21600"/>
                <wp:lineTo x="21600" y="0"/>
                <wp:lineTo x="8" y="-2"/>
                <wp:lineTo x="21592" y="-2"/>
              </wp:wrapPolygon>
            </wp:wrapTight>
            <wp:docPr id="2" name="_x0000_s1029"/>
            <wp:cNvGraphicFramePr/>
            <a:graphic xmlns:a="http://schemas.openxmlformats.org/drawingml/2006/main">
              <a:graphicData uri="http://schemas.openxmlformats.org/drawingml/2006/picture">
                <pic:pic xmlns:pic="http://schemas.openxmlformats.org/drawingml/2006/picture">
                  <pic:nvPicPr>
                    <pic:cNvPr id="2" name="_x0000_s1029"/>
                    <pic:cNvPicPr/>
                  </pic:nvPicPr>
                  <pic:blipFill>
                    <a:blip r:embed="rId5"/>
                    <a:stretch>
                      <a:fillRect/>
                    </a:stretch>
                  </pic:blipFill>
                  <pic:spPr>
                    <a:xfrm>
                      <a:off x="0" y="0"/>
                      <a:ext cx="5623560" cy="2863850"/>
                    </a:xfrm>
                    <a:prstGeom prst="rect">
                      <a:avLst/>
                    </a:prstGeom>
                  </pic:spPr>
                </pic:pic>
              </a:graphicData>
            </a:graphic>
          </wp:anchor>
        </w:drawing>
      </w:r>
      <w:r>
        <w:rPr>
          <w:rFonts w:hint="eastAsia" w:ascii="仿宋_GB2312" w:hAnsi="仿宋_GB2312" w:eastAsia="仿宋_GB2312"/>
          <w:i w:val="0"/>
          <w:iCs w:val="0"/>
          <w:color w:val="404040"/>
          <w:spacing w:val="0"/>
          <w:sz w:val="32"/>
          <w:szCs w:val="32"/>
          <w:lang w:val="en-US" w:eastAsia="zh-CN"/>
        </w:rPr>
        <w:t>（青河县组织部部长张征同志在培训班开班仪式讲话）</w:t>
      </w:r>
    </w:p>
    <w:p>
      <w:pPr>
        <w:pStyle w:val="6"/>
        <w:keepNext w:val="0"/>
        <w:keepLines w:val="0"/>
        <w:pageBreakBefore w:val="0"/>
        <w:widowControl/>
        <w:suppressLineNumbers w:val="0"/>
        <w:wordWrap/>
        <w:overflowPunct/>
        <w:topLinePunct w:val="0"/>
        <w:autoSpaceDE/>
        <w:autoSpaceDN/>
        <w:bidi w:val="0"/>
        <w:snapToGrid/>
        <w:spacing w:beforeAutospacing="0" w:afterAutospacing="0" w:line="560" w:lineRule="exact"/>
        <w:ind w:left="0" w:firstLine="640" w:firstLineChars="200"/>
        <w:rPr>
          <w:rFonts w:hint="eastAsia" w:ascii="仿宋_GB2312" w:hAnsi="仿宋_GB2312" w:eastAsia="仿宋_GB2312"/>
          <w:i w:val="0"/>
          <w:color w:val="404040"/>
          <w:spacing w:val="0"/>
          <w:sz w:val="32"/>
        </w:rPr>
      </w:pPr>
      <w:r>
        <w:rPr>
          <w:rFonts w:hint="eastAsia" w:ascii="仿宋_GB2312" w:hAnsi="仿宋_GB2312" w:eastAsia="仿宋_GB2312"/>
          <w:i w:val="0"/>
          <w:iCs w:val="0"/>
          <w:color w:val="404040"/>
          <w:spacing w:val="0"/>
          <w:sz w:val="32"/>
          <w:szCs w:val="32"/>
          <w:lang w:val="en-US" w:eastAsia="zh-CN"/>
        </w:rPr>
        <w:t>紧接着，</w:t>
      </w:r>
      <w:r>
        <w:rPr>
          <w:rFonts w:hint="eastAsia" w:ascii="仿宋_GB2312" w:hAnsi="仿宋_GB2312" w:eastAsia="仿宋_GB2312"/>
          <w:i w:val="0"/>
          <w:color w:val="404040"/>
          <w:spacing w:val="0"/>
          <w:sz w:val="32"/>
          <w:lang w:eastAsia="zh-CN"/>
        </w:rPr>
        <w:t>北京和君恒成企业顾问集团股份有限公司</w:t>
      </w:r>
      <w:r>
        <w:rPr>
          <w:rFonts w:hint="eastAsia" w:ascii="仿宋_GB2312" w:hAnsi="仿宋_GB2312" w:eastAsia="仿宋_GB2312"/>
          <w:i w:val="0"/>
          <w:color w:val="404040"/>
          <w:spacing w:val="0"/>
          <w:sz w:val="32"/>
        </w:rPr>
        <w:t>总经理唐乐民老师以《战略领航开新局，深化改革焕新机》为题，围绕国企改革助力区县国企做优做大，实现转型升级方面进行授课</w:t>
      </w:r>
      <w:r>
        <w:rPr>
          <w:rFonts w:hint="eastAsia" w:ascii="仿宋_GB2312" w:hAnsi="仿宋_GB2312" w:eastAsia="仿宋_GB2312"/>
          <w:i w:val="0"/>
          <w:color w:val="404040"/>
          <w:spacing w:val="0"/>
          <w:sz w:val="32"/>
          <w:lang w:eastAsia="zh-CN"/>
        </w:rPr>
        <w:t>。</w:t>
      </w:r>
      <w:r>
        <w:rPr>
          <w:rFonts w:hint="eastAsia" w:ascii="仿宋_GB2312" w:hAnsi="仿宋_GB2312" w:eastAsia="仿宋_GB2312"/>
          <w:i w:val="0"/>
          <w:color w:val="404040"/>
          <w:spacing w:val="0"/>
          <w:sz w:val="32"/>
        </w:rPr>
        <w:t>唐乐民老师</w:t>
      </w:r>
      <w:r>
        <w:rPr>
          <w:rFonts w:hint="eastAsia" w:ascii="仿宋_GB2312" w:hAnsi="仿宋_GB2312" w:eastAsia="仿宋_GB2312"/>
          <w:i w:val="0"/>
          <w:iCs w:val="0"/>
          <w:color w:val="404040"/>
          <w:spacing w:val="0"/>
          <w:sz w:val="32"/>
          <w:szCs w:val="32"/>
          <w:lang w:eastAsia="zh-CN"/>
        </w:rPr>
        <w:t>从区县国企的转型呼唤国企改革、国企改革政策指引区县深化改革、国内优秀区县区县平台转型案例、区县平台公司国企改革思路、青河县属国企改革的建议</w:t>
      </w:r>
      <w:r>
        <w:rPr>
          <w:rFonts w:hint="eastAsia" w:ascii="仿宋_GB2312" w:hAnsi="仿宋_GB2312" w:eastAsia="仿宋_GB2312"/>
          <w:i w:val="0"/>
          <w:color w:val="404040"/>
          <w:spacing w:val="0"/>
          <w:sz w:val="32"/>
          <w:lang w:eastAsia="zh-CN"/>
        </w:rPr>
        <w:t>等</w:t>
      </w:r>
      <w:r>
        <w:rPr>
          <w:rFonts w:hint="eastAsia" w:ascii="仿宋_GB2312" w:hAnsi="仿宋_GB2312" w:eastAsia="仿宋_GB2312"/>
          <w:i w:val="0"/>
          <w:color w:val="404040"/>
          <w:spacing w:val="0"/>
          <w:sz w:val="32"/>
          <w:lang w:val="en-US" w:eastAsia="zh-CN"/>
        </w:rPr>
        <w:t>五</w:t>
      </w:r>
      <w:r>
        <w:rPr>
          <w:rFonts w:hint="eastAsia" w:ascii="仿宋_GB2312" w:hAnsi="仿宋_GB2312" w:eastAsia="仿宋_GB2312"/>
          <w:i w:val="0"/>
          <w:color w:val="404040"/>
          <w:spacing w:val="0"/>
          <w:sz w:val="32"/>
          <w:lang w:eastAsia="zh-CN"/>
        </w:rPr>
        <w:t>个方面展开系统讲解</w:t>
      </w:r>
      <w:r>
        <w:rPr>
          <w:rFonts w:hint="eastAsia" w:ascii="仿宋_GB2312" w:hAnsi="仿宋_GB2312" w:eastAsia="仿宋_GB2312"/>
          <w:i w:val="0"/>
          <w:color w:val="404040"/>
          <w:spacing w:val="0"/>
          <w:sz w:val="32"/>
        </w:rPr>
        <w:t>。整场授课融合背景分析、政策解读、案例分析、改革建议等，既拓宽了参训人员的</w:t>
      </w:r>
      <w:r>
        <w:rPr>
          <w:rFonts w:hint="eastAsia" w:ascii="仿宋_GB2312" w:hAnsi="仿宋_GB2312" w:eastAsia="仿宋_GB2312"/>
          <w:i w:val="0"/>
          <w:color w:val="404040"/>
          <w:spacing w:val="0"/>
          <w:sz w:val="32"/>
          <w:lang w:val="en-US" w:eastAsia="zh-CN"/>
        </w:rPr>
        <w:t>国有平台</w:t>
      </w:r>
      <w:r>
        <w:rPr>
          <w:rFonts w:hint="eastAsia" w:ascii="仿宋_GB2312" w:hAnsi="仿宋_GB2312" w:eastAsia="仿宋_GB2312"/>
          <w:i w:val="0"/>
          <w:color w:val="404040"/>
          <w:spacing w:val="0"/>
          <w:sz w:val="32"/>
        </w:rPr>
        <w:t>管理视野，也为</w:t>
      </w:r>
      <w:r>
        <w:rPr>
          <w:rFonts w:hint="eastAsia" w:ascii="仿宋_GB2312" w:hAnsi="仿宋_GB2312" w:eastAsia="仿宋_GB2312"/>
          <w:i w:val="0"/>
          <w:color w:val="404040"/>
          <w:spacing w:val="0"/>
          <w:sz w:val="32"/>
          <w:lang w:val="en-US" w:eastAsia="zh-CN"/>
        </w:rPr>
        <w:t>提高青河县</w:t>
      </w:r>
      <w:r>
        <w:rPr>
          <w:rFonts w:hint="eastAsia" w:ascii="仿宋_GB2312" w:hAnsi="仿宋_GB2312" w:eastAsia="仿宋_GB2312"/>
          <w:i w:val="0"/>
          <w:color w:val="404040"/>
          <w:spacing w:val="0"/>
          <w:sz w:val="32"/>
        </w:rPr>
        <w:t>国企发展核心竞争力提供了可落地的解决方案。</w:t>
      </w:r>
    </w:p>
    <w:p>
      <w:pPr>
        <w:pStyle w:val="6"/>
        <w:keepNext w:val="0"/>
        <w:keepLines w:val="0"/>
        <w:pageBreakBefore w:val="0"/>
        <w:widowControl/>
        <w:suppressLineNumbers w:val="0"/>
        <w:kinsoku/>
        <w:wordWrap/>
        <w:overflowPunct/>
        <w:topLinePunct w:val="0"/>
        <w:autoSpaceDE/>
        <w:autoSpaceDN/>
        <w:bidi w:val="0"/>
        <w:snapToGrid/>
        <w:spacing w:beforeAutospacing="0" w:afterAutospacing="0" w:line="560" w:lineRule="exact"/>
        <w:ind w:left="0" w:firstLine="640" w:firstLineChars="200"/>
        <w:jc w:val="center"/>
        <w:rPr>
          <w:rFonts w:hint="eastAsia" w:ascii="仿宋_GB2312" w:hAnsi="仿宋_GB2312" w:eastAsia="仿宋_GB2312"/>
          <w:i w:val="0"/>
          <w:color w:val="404040"/>
          <w:spacing w:val="0"/>
          <w:sz w:val="32"/>
          <w:lang w:val="en-US" w:eastAsia="zh-CN"/>
        </w:rPr>
      </w:pPr>
      <w:r>
        <w:rPr>
          <w:rFonts w:hint="eastAsia" w:ascii="仿宋_GB2312" w:hAnsi="仿宋_GB2312" w:eastAsia="仿宋_GB2312"/>
          <w:i w:val="0"/>
          <w:iCs w:val="0"/>
          <w:color w:val="404040"/>
          <w:spacing w:val="0"/>
          <w:kern w:val="0"/>
          <w:sz w:val="32"/>
          <w:szCs w:val="32"/>
          <w:lang w:val="en-US" w:eastAsia="zh-CN" w:bidi="ar"/>
        </w:rPr>
        <w:drawing>
          <wp:anchor distT="0" distB="0" distL="114300" distR="114300" simplePos="0" relativeHeight="251661312" behindDoc="1" locked="0" layoutInCell="1" allowOverlap="1">
            <wp:simplePos x="0" y="0"/>
            <wp:positionH relativeFrom="column">
              <wp:posOffset>-88265</wp:posOffset>
            </wp:positionH>
            <wp:positionV relativeFrom="paragraph">
              <wp:posOffset>2571750</wp:posOffset>
            </wp:positionV>
            <wp:extent cx="5655310" cy="3068955"/>
            <wp:effectExtent l="0" t="0" r="8890" b="4445"/>
            <wp:wrapTight wrapText="bothSides">
              <wp:wrapPolygon>
                <wp:start x="0" y="0"/>
                <wp:lineTo x="0" y="21542"/>
                <wp:lineTo x="21537" y="21542"/>
                <wp:lineTo x="21537" y="0"/>
                <wp:lineTo x="0" y="0"/>
              </wp:wrapPolygon>
            </wp:wrapTight>
            <wp:docPr id="3" name="_x0000_s1026"/>
            <wp:cNvGraphicFramePr/>
            <a:graphic xmlns:a="http://schemas.openxmlformats.org/drawingml/2006/main">
              <a:graphicData uri="http://schemas.openxmlformats.org/drawingml/2006/picture">
                <pic:pic xmlns:pic="http://schemas.openxmlformats.org/drawingml/2006/picture">
                  <pic:nvPicPr>
                    <pic:cNvPr id="3" name="_x0000_s1026"/>
                    <pic:cNvPicPr/>
                  </pic:nvPicPr>
                  <pic:blipFill>
                    <a:blip r:embed="rId6"/>
                    <a:stretch>
                      <a:fillRect/>
                    </a:stretch>
                  </pic:blipFill>
                  <pic:spPr>
                    <a:xfrm>
                      <a:off x="0" y="0"/>
                      <a:ext cx="5655310" cy="3068955"/>
                    </a:xfrm>
                    <a:prstGeom prst="rect">
                      <a:avLst/>
                    </a:prstGeom>
                  </pic:spPr>
                </pic:pic>
              </a:graphicData>
            </a:graphic>
          </wp:anchor>
        </w:drawing>
      </w:r>
      <w:r>
        <w:rPr>
          <w:rFonts w:hint="eastAsia" w:ascii="仿宋_GB2312" w:hAnsi="仿宋_GB2312" w:eastAsia="仿宋_GB2312"/>
          <w:i w:val="0"/>
          <w:color w:val="404040"/>
          <w:spacing w:val="0"/>
          <w:sz w:val="32"/>
          <w:lang w:eastAsia="zh-CN"/>
        </w:rPr>
        <w:t>当天下午，北京和君恒成企业顾问集团股份有限公司高级合伙人伏河以《资本赋能，产业破局》为题，围绕青河县国有平台资本招商创新实战等方面进行授课。</w:t>
      </w:r>
      <w:r>
        <w:rPr>
          <w:rFonts w:hint="eastAsia" w:ascii="仿宋_GB2312" w:hAnsi="仿宋_GB2312" w:eastAsia="仿宋_GB2312"/>
          <w:i w:val="0"/>
          <w:iCs w:val="0"/>
          <w:color w:val="404040"/>
          <w:spacing w:val="0"/>
          <w:sz w:val="32"/>
          <w:szCs w:val="32"/>
        </w:rPr>
        <w:t>伏河老师</w:t>
      </w:r>
      <w:r>
        <w:rPr>
          <w:rFonts w:hint="eastAsia" w:ascii="仿宋_GB2312" w:hAnsi="仿宋_GB2312" w:eastAsia="仿宋_GB2312"/>
          <w:i w:val="0"/>
          <w:iCs w:val="0"/>
          <w:color w:val="404040"/>
          <w:spacing w:val="0"/>
          <w:sz w:val="32"/>
          <w:szCs w:val="32"/>
          <w:lang w:eastAsia="zh-CN"/>
        </w:rPr>
        <w:t>从</w:t>
      </w:r>
      <w:r>
        <w:rPr>
          <w:rFonts w:hint="eastAsia" w:ascii="仿宋_GB2312" w:hAnsi="仿宋_GB2312" w:eastAsia="仿宋_GB2312"/>
          <w:i w:val="0"/>
          <w:color w:val="404040"/>
          <w:spacing w:val="0"/>
          <w:sz w:val="32"/>
          <w:lang w:eastAsia="zh-CN"/>
        </w:rPr>
        <w:t>资本招商的方法论“123456”、国有平台资本招商的关键要素、国有平台的资本招商实践案例、对青河县国有平台的启示和建议等四个方面展开系统讲解</w:t>
      </w:r>
      <w:r>
        <w:rPr>
          <w:rFonts w:hint="eastAsia" w:ascii="仿宋_GB2312" w:hAnsi="仿宋_GB2312" w:eastAsia="仿宋_GB2312"/>
          <w:i w:val="0"/>
          <w:color w:val="404040"/>
          <w:spacing w:val="0"/>
          <w:sz w:val="32"/>
          <w:lang w:val="en-US" w:eastAsia="zh-CN"/>
        </w:rPr>
        <w:t>。整场授课兼具前沿视野与实操经验，为县域国企从传统土地招商向资本赋能型招商转型提供了可操作的实施框架</w:t>
      </w:r>
    </w:p>
    <w:p>
      <w:pPr>
        <w:pStyle w:val="6"/>
        <w:keepNext w:val="0"/>
        <w:keepLines w:val="0"/>
        <w:pageBreakBefore w:val="0"/>
        <w:widowControl/>
        <w:suppressLineNumbers w:val="0"/>
        <w:kinsoku/>
        <w:wordWrap/>
        <w:overflowPunct/>
        <w:topLinePunct w:val="0"/>
        <w:autoSpaceDE/>
        <w:autoSpaceDN/>
        <w:bidi w:val="0"/>
        <w:snapToGrid/>
        <w:spacing w:beforeAutospacing="0" w:afterAutospacing="0" w:line="560" w:lineRule="exact"/>
        <w:jc w:val="both"/>
        <w:rPr>
          <w:rFonts w:hint="eastAsia" w:ascii="仿宋_GB2312" w:hAnsi="仿宋_GB2312" w:eastAsia="仿宋_GB2312"/>
          <w:i w:val="0"/>
          <w:iCs w:val="0"/>
          <w:color w:val="404040"/>
          <w:spacing w:val="0"/>
          <w:kern w:val="0"/>
          <w:sz w:val="32"/>
          <w:szCs w:val="32"/>
          <w:lang w:val="en-US" w:eastAsia="zh-CN" w:bidi="ar"/>
        </w:rPr>
      </w:pPr>
      <w:r>
        <w:rPr>
          <w:rFonts w:hint="eastAsia" w:ascii="仿宋_GB2312" w:hAnsi="仿宋_GB2312" w:eastAsia="仿宋_GB2312"/>
          <w:i w:val="0"/>
          <w:iCs w:val="0"/>
          <w:color w:val="404040"/>
          <w:spacing w:val="0"/>
          <w:sz w:val="32"/>
          <w:szCs w:val="32"/>
          <w:lang w:val="en-US" w:eastAsia="zh-CN"/>
        </w:rPr>
        <w:t>（</w:t>
      </w:r>
      <w:r>
        <w:rPr>
          <w:rFonts w:hint="eastAsia" w:ascii="仿宋_GB2312" w:hAnsi="仿宋_GB2312" w:eastAsia="仿宋_GB2312"/>
          <w:i w:val="0"/>
          <w:color w:val="404040"/>
          <w:spacing w:val="0"/>
          <w:sz w:val="32"/>
          <w:lang w:eastAsia="zh-CN"/>
        </w:rPr>
        <w:t>北京和君恒成企业顾问集团股份有限公司高级合伙人伏河老师</w:t>
      </w:r>
      <w:r>
        <w:rPr>
          <w:rFonts w:hint="eastAsia" w:ascii="仿宋_GB2312" w:hAnsi="仿宋_GB2312" w:eastAsia="仿宋_GB2312"/>
          <w:i w:val="0"/>
          <w:color w:val="404040"/>
          <w:spacing w:val="0"/>
          <w:sz w:val="32"/>
          <w:lang w:val="en-US" w:eastAsia="zh-CN"/>
        </w:rPr>
        <w:t>授课</w:t>
      </w:r>
      <w:r>
        <w:rPr>
          <w:rFonts w:hint="eastAsia" w:ascii="仿宋_GB2312" w:hAnsi="仿宋_GB2312" w:eastAsia="仿宋_GB2312"/>
          <w:i w:val="0"/>
          <w:iCs w:val="0"/>
          <w:color w:val="404040"/>
          <w:spacing w:val="0"/>
          <w:sz w:val="32"/>
          <w:szCs w:val="32"/>
          <w:lang w:val="en-US" w:eastAsia="zh-CN"/>
        </w:rPr>
        <w:t>现场）</w:t>
      </w:r>
    </w:p>
    <w:p>
      <w:pPr>
        <w:keepNext w:val="0"/>
        <w:keepLines w:val="0"/>
        <w:pageBreakBefore w:val="0"/>
        <w:kinsoku/>
        <w:wordWrap/>
        <w:overflowPunct/>
        <w:topLinePunct w:val="0"/>
        <w:autoSpaceDE/>
        <w:autoSpaceDN/>
        <w:bidi w:val="0"/>
        <w:snapToGrid/>
        <w:spacing w:beforeAutospacing="0" w:afterAutospacing="0"/>
        <w:jc w:val="both"/>
        <w:rPr>
          <w:rFonts w:hint="eastAsia" w:ascii="仿宋_GB2312" w:hAnsi="仿宋_GB2312" w:eastAsia="仿宋_GB2312"/>
          <w:i w:val="0"/>
          <w:iCs w:val="0"/>
          <w:color w:val="404040"/>
          <w:spacing w:val="0"/>
          <w:kern w:val="0"/>
          <w:sz w:val="32"/>
          <w:szCs w:val="32"/>
          <w:lang w:val="en-US" w:eastAsia="zh-CN" w:bidi="ar"/>
        </w:rPr>
      </w:pPr>
      <w:r>
        <w:rPr>
          <w:rFonts w:hint="eastAsia" w:ascii="仿宋_GB2312" w:hAnsi="仿宋_GB2312" w:eastAsia="仿宋_GB2312"/>
          <w:i w:val="0"/>
          <w:iCs w:val="0"/>
          <w:color w:val="404040"/>
          <w:spacing w:val="0"/>
          <w:kern w:val="0"/>
          <w:sz w:val="32"/>
          <w:szCs w:val="32"/>
          <w:lang w:val="en-US" w:eastAsia="zh-CN" w:bidi="ar"/>
        </w:rPr>
        <w:drawing>
          <wp:inline distT="0" distB="0" distL="114300" distR="114300">
            <wp:extent cx="5657850" cy="3406140"/>
            <wp:effectExtent l="0" t="0" r="0" b="3810"/>
            <wp:docPr id="5" name="图片 5" descr="36f68462100c9bba7d88c324e4c3b4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36f68462100c9bba7d88c324e4c3b4e5"/>
                    <pic:cNvPicPr>
                      <a:picLocks noChangeAspect="1"/>
                    </pic:cNvPicPr>
                  </pic:nvPicPr>
                  <pic:blipFill>
                    <a:blip r:embed="rId7"/>
                    <a:stretch>
                      <a:fillRect/>
                    </a:stretch>
                  </pic:blipFill>
                  <pic:spPr>
                    <a:xfrm>
                      <a:off x="0" y="0"/>
                      <a:ext cx="5657850" cy="3406140"/>
                    </a:xfrm>
                    <a:prstGeom prst="rect">
                      <a:avLst/>
                    </a:prstGeom>
                  </pic:spPr>
                </pic:pic>
              </a:graphicData>
            </a:graphic>
          </wp:inline>
        </w:drawing>
      </w:r>
      <w:r>
        <w:rPr>
          <w:rFonts w:hint="eastAsia" w:ascii="仿宋_GB2312" w:hAnsi="仿宋_GB2312" w:eastAsia="仿宋_GB2312"/>
          <w:i w:val="0"/>
          <w:iCs w:val="0"/>
          <w:color w:val="404040"/>
          <w:spacing w:val="0"/>
          <w:kern w:val="0"/>
          <w:sz w:val="32"/>
          <w:szCs w:val="32"/>
          <w:lang w:val="en-US" w:eastAsia="zh-CN" w:bidi="ar"/>
        </w:rPr>
        <w:t>（青河县政府相关领导干部与新疆职业大学专家团队合影留念）</w:t>
      </w:r>
    </w:p>
    <w:p>
      <w:pPr>
        <w:keepNext w:val="0"/>
        <w:keepLines w:val="0"/>
        <w:pageBreakBefore w:val="0"/>
        <w:kinsoku/>
        <w:wordWrap/>
        <w:overflowPunct/>
        <w:topLinePunct w:val="0"/>
        <w:autoSpaceDE/>
        <w:autoSpaceDN/>
        <w:bidi w:val="0"/>
        <w:snapToGrid/>
        <w:spacing w:beforeAutospacing="0" w:afterAutospacing="0"/>
        <w:ind w:firstLine="640" w:firstLineChars="200"/>
        <w:rPr>
          <w:rFonts w:hint="eastAsia" w:ascii="仿宋_GB2312" w:hAnsi="仿宋_GB2312" w:eastAsia="仿宋_GB2312"/>
          <w:i w:val="0"/>
          <w:iCs w:val="0"/>
          <w:color w:val="404040"/>
          <w:spacing w:val="0"/>
          <w:kern w:val="0"/>
          <w:sz w:val="32"/>
          <w:szCs w:val="32"/>
          <w:lang w:val="en-US" w:eastAsia="zh-CN" w:bidi="ar"/>
        </w:rPr>
      </w:pPr>
      <w:r>
        <w:rPr>
          <w:rFonts w:hint="eastAsia" w:ascii="仿宋_GB2312" w:hAnsi="仿宋_GB2312" w:eastAsia="仿宋_GB2312"/>
          <w:i w:val="0"/>
          <w:iCs w:val="0"/>
          <w:color w:val="404040"/>
          <w:spacing w:val="0"/>
          <w:kern w:val="0"/>
          <w:sz w:val="32"/>
          <w:szCs w:val="32"/>
          <w:lang w:val="en-US" w:eastAsia="zh-CN" w:bidi="ar"/>
        </w:rPr>
        <w:t>青河县组织部高度评价培训实效，指出新疆职业大学精准对接地方需求，引入的资本</w:t>
      </w:r>
      <w:bookmarkStart w:id="0" w:name="_GoBack"/>
      <w:bookmarkEnd w:id="0"/>
      <w:r>
        <w:rPr>
          <w:rFonts w:hint="eastAsia" w:ascii="仿宋_GB2312" w:hAnsi="仿宋_GB2312" w:eastAsia="仿宋_GB2312"/>
          <w:i w:val="0"/>
          <w:iCs w:val="0"/>
          <w:color w:val="404040"/>
          <w:spacing w:val="0"/>
          <w:kern w:val="0"/>
          <w:sz w:val="32"/>
          <w:szCs w:val="32"/>
          <w:lang w:val="en-US" w:eastAsia="zh-CN" w:bidi="ar"/>
        </w:rPr>
        <w:t>招商方法论与实战案例，为破解国企改革难题提供了科学路径，特别是赣州、楚雄等地的经验具有重要借鉴意义。新疆职业大学公共管理学院党总支副书记郭芳表示，学校将以此次培训为契机，将高校教育优势资源整合，力图实现政校企产教深度融合，为县域产业发展注入新活力，打造校地共谋改革、共促发展的新型合作范式，为新疆县域经济高质量发展贡献力量。</w:t>
      </w:r>
    </w:p>
    <w:p>
      <w:pPr>
        <w:keepNext w:val="0"/>
        <w:keepLines w:val="0"/>
        <w:pageBreakBefore w:val="0"/>
        <w:kinsoku/>
        <w:wordWrap/>
        <w:overflowPunct/>
        <w:topLinePunct w:val="0"/>
        <w:autoSpaceDE/>
        <w:autoSpaceDN/>
        <w:bidi w:val="0"/>
        <w:snapToGrid/>
        <w:spacing w:beforeAutospacing="0" w:afterAutospacing="0"/>
        <w:ind w:firstLine="640" w:firstLineChars="200"/>
        <w:jc w:val="right"/>
        <w:rPr>
          <w:rFonts w:hint="eastAsia" w:ascii="仿宋_GB2312" w:hAnsi="仿宋_GB2312" w:eastAsia="仿宋_GB2312"/>
          <w:i w:val="0"/>
          <w:iCs w:val="0"/>
          <w:color w:val="404040"/>
          <w:spacing w:val="0"/>
          <w:kern w:val="0"/>
          <w:sz w:val="32"/>
          <w:szCs w:val="32"/>
          <w:lang w:val="en-US" w:eastAsia="zh-CN" w:bidi="ar"/>
        </w:rPr>
      </w:pPr>
      <w:r>
        <w:rPr>
          <w:rFonts w:hint="eastAsia" w:ascii="仿宋_GB2312" w:hAnsi="仿宋_GB2312" w:eastAsia="仿宋_GB2312"/>
          <w:i w:val="0"/>
          <w:iCs w:val="0"/>
          <w:color w:val="404040"/>
          <w:spacing w:val="0"/>
          <w:kern w:val="0"/>
          <w:sz w:val="32"/>
          <w:szCs w:val="32"/>
          <w:lang w:val="en-US" w:eastAsia="zh-CN" w:bidi="ar"/>
        </w:rPr>
        <w:t>（供稿人：厉荣、韩琼 供图人：厉荣）</w:t>
      </w:r>
    </w:p>
    <w:sectPr>
      <w:pgSz w:w="11906" w:h="16838"/>
      <w:pgMar w:top="2120" w:right="1463" w:bottom="2007" w:left="1519"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isplayHorizontalDrawingGridEvery w:val="1"/>
  <w:displayVerticalDrawingGridEvery w:val="1"/>
  <w:characterSpacingControl w:val="compressPunctuation"/>
  <w:compat>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BF37107"/>
    <w:rsid w:val="2D0D6061"/>
    <w:rsid w:val="3335765B"/>
    <w:rsid w:val="438D37B8"/>
    <w:rsid w:val="5F9BCF99"/>
    <w:rsid w:val="7A9B760F"/>
    <w:rsid w:val="7BFA3436"/>
    <w:rsid w:val="9EFDDEF5"/>
    <w:rsid w:val="B77E4416"/>
    <w:rsid w:val="BFE3C07F"/>
    <w:rsid w:val="D77F53C8"/>
    <w:rsid w:val="DEA76D0D"/>
    <w:rsid w:val="DF5F7AF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99" w:semiHidden="0"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nhideWhenUsed="0" w:uiPriority="99" w:semiHidden="0" w:name="index 1"/>
    <w:lsdException w:unhideWhenUsed="0" w:uiPriority="99" w:semiHidden="0" w:name="index 2"/>
    <w:lsdException w:unhideWhenUsed="0" w:uiPriority="99" w:semiHidden="0" w:name="index 3"/>
    <w:lsdException w:unhideWhenUsed="0" w:uiPriority="99" w:semiHidden="0" w:name="index 4"/>
    <w:lsdException w:unhideWhenUsed="0" w:uiPriority="99" w:semiHidden="0" w:name="index 5"/>
    <w:lsdException w:unhideWhenUsed="0" w:uiPriority="99" w:semiHidden="0" w:name="index 6"/>
    <w:lsdException w:unhideWhenUsed="0" w:uiPriority="99" w:semiHidden="0" w:name="index 7"/>
    <w:lsdException w:unhideWhenUsed="0" w:uiPriority="99" w:semiHidden="0" w:name="index 8"/>
    <w:lsdException w:unhideWhenUsed="0" w:uiPriority="99" w:semiHidden="0" w:name="index 9"/>
    <w:lsdException w:unhideWhenUsed="0" w:uiPriority="99" w:semiHidden="0" w:name="toc 1"/>
    <w:lsdException w:unhideWhenUsed="0" w:uiPriority="99" w:semiHidden="0" w:name="toc 2"/>
    <w:lsdException w:unhideWhenUsed="0" w:uiPriority="99" w:semiHidden="0" w:name="toc 3"/>
    <w:lsdException w:unhideWhenUsed="0" w:uiPriority="99" w:semiHidden="0" w:name="toc 4"/>
    <w:lsdException w:unhideWhenUsed="0" w:uiPriority="99" w:semiHidden="0" w:name="toc 5"/>
    <w:lsdException w:unhideWhenUsed="0" w:uiPriority="99" w:semiHidden="0" w:name="toc 6"/>
    <w:lsdException w:unhideWhenUsed="0" w:uiPriority="99" w:semiHidden="0" w:name="toc 7"/>
    <w:lsdException w:unhideWhenUsed="0" w:uiPriority="99" w:semiHidden="0" w:name="toc 8"/>
    <w:lsdException w:unhideWhenUsed="0" w:uiPriority="99" w:semiHidden="0" w:name="toc 9"/>
    <w:lsdException w:unhideWhenUsed="0" w:uiPriority="99" w:semiHidden="0" w:name="Normal Indent"/>
    <w:lsdException w:unhideWhenUsed="0" w:uiPriority="99" w:semiHidden="0" w:name="footnote text"/>
    <w:lsdException w:unhideWhenUsed="0" w:uiPriority="99" w:semiHidden="0" w:name="annotation text"/>
    <w:lsdException w:unhideWhenUsed="0" w:uiPriority="99" w:semiHidden="0" w:name="header"/>
    <w:lsdException w:unhideWhenUsed="0" w:uiPriority="99" w:semiHidden="0" w:name="footer"/>
    <w:lsdException w:unhideWhenUsed="0" w:uiPriority="99" w:semiHidden="0" w:name="index heading"/>
    <w:lsdException w:uiPriority="99" w:name="caption"/>
    <w:lsdException w:unhideWhenUsed="0" w:uiPriority="99" w:semiHidden="0" w:name="table of figures"/>
    <w:lsdException w:unhideWhenUsed="0" w:uiPriority="99" w:semiHidden="0" w:name="envelope address"/>
    <w:lsdException w:unhideWhenUsed="0" w:uiPriority="99" w:semiHidden="0" w:name="envelope return"/>
    <w:lsdException w:unhideWhenUsed="0" w:uiPriority="99" w:semiHidden="0" w:name="footnote reference"/>
    <w:lsdException w:unhideWhenUsed="0" w:uiPriority="99" w:semiHidden="0" w:name="annotation reference"/>
    <w:lsdException w:unhideWhenUsed="0" w:uiPriority="99" w:semiHidden="0" w:name="line number"/>
    <w:lsdException w:unhideWhenUsed="0" w:uiPriority="99" w:semiHidden="0" w:name="page number"/>
    <w:lsdException w:unhideWhenUsed="0" w:uiPriority="99" w:semiHidden="0" w:name="endnote reference"/>
    <w:lsdException w:unhideWhenUsed="0" w:uiPriority="99" w:semiHidden="0" w:name="endnote text"/>
    <w:lsdException w:unhideWhenUsed="0" w:uiPriority="99" w:semiHidden="0" w:name="table of authorities"/>
    <w:lsdException w:unhideWhenUsed="0" w:uiPriority="99" w:semiHidden="0" w:name="macro"/>
    <w:lsdException w:unhideWhenUsed="0" w:uiPriority="99" w:semiHidden="0" w:name="toa heading"/>
    <w:lsdException w:unhideWhenUsed="0" w:uiPriority="99" w:semiHidden="0" w:name="List"/>
    <w:lsdException w:unhideWhenUsed="0" w:uiPriority="99" w:semiHidden="0" w:name="List Bullet"/>
    <w:lsdException w:unhideWhenUsed="0" w:uiPriority="99" w:semiHidden="0" w:name="List Number"/>
    <w:lsdException w:unhideWhenUsed="0" w:uiPriority="99" w:semiHidden="0" w:name="List 2"/>
    <w:lsdException w:unhideWhenUsed="0" w:uiPriority="99" w:semiHidden="0" w:name="List 3"/>
    <w:lsdException w:unhideWhenUsed="0" w:uiPriority="99" w:semiHidden="0" w:name="List 4"/>
    <w:lsdException w:unhideWhenUsed="0" w:uiPriority="99" w:semiHidden="0" w:name="List 5"/>
    <w:lsdException w:unhideWhenUsed="0" w:uiPriority="99" w:semiHidden="0" w:name="List Bullet 2"/>
    <w:lsdException w:unhideWhenUsed="0" w:uiPriority="99" w:semiHidden="0" w:name="List Bullet 3"/>
    <w:lsdException w:unhideWhenUsed="0" w:uiPriority="99" w:semiHidden="0" w:name="List Bullet 4"/>
    <w:lsdException w:unhideWhenUsed="0" w:uiPriority="99" w:semiHidden="0" w:name="List Bullet 5"/>
    <w:lsdException w:unhideWhenUsed="0" w:uiPriority="99" w:semiHidden="0" w:name="List Number 2"/>
    <w:lsdException w:unhideWhenUsed="0" w:uiPriority="99" w:semiHidden="0" w:name="List Number 3"/>
    <w:lsdException w:unhideWhenUsed="0" w:uiPriority="99" w:semiHidden="0" w:name="List Number 4"/>
    <w:lsdException w:unhideWhenUsed="0" w:uiPriority="99" w:semiHidden="0" w:name="List Number 5"/>
    <w:lsdException w:unhideWhenUsed="0" w:uiPriority="99" w:semiHidden="0" w:name="Title"/>
    <w:lsdException w:unhideWhenUsed="0" w:uiPriority="99" w:semiHidden="0" w:name="Closing"/>
    <w:lsdException w:unhideWhenUsed="0" w:uiPriority="99" w:semiHidden="0" w:name="Signature"/>
    <w:lsdException w:qFormat="1" w:unhideWhenUsed="0" w:uiPriority="0" w:name="Default Paragraph Font"/>
    <w:lsdException w:unhideWhenUsed="0" w:uiPriority="99" w:semiHidden="0" w:name="Body Text"/>
    <w:lsdException w:unhideWhenUsed="0" w:uiPriority="99" w:semiHidden="0" w:name="Body Text Indent"/>
    <w:lsdException w:unhideWhenUsed="0" w:uiPriority="99" w:semiHidden="0" w:name="List Continue"/>
    <w:lsdException w:unhideWhenUsed="0" w:uiPriority="99" w:semiHidden="0" w:name="List Continue 2"/>
    <w:lsdException w:unhideWhenUsed="0" w:uiPriority="99" w:semiHidden="0" w:name="List Continue 3"/>
    <w:lsdException w:unhideWhenUsed="0" w:uiPriority="99" w:semiHidden="0" w:name="List Continue 4"/>
    <w:lsdException w:unhideWhenUsed="0" w:uiPriority="99" w:semiHidden="0" w:name="List Continue 5"/>
    <w:lsdException w:unhideWhenUsed="0" w:uiPriority="99" w:semiHidden="0" w:name="Message Header"/>
    <w:lsdException w:unhideWhenUsed="0" w:uiPriority="99" w:semiHidden="0" w:name="Subtitle"/>
    <w:lsdException w:unhideWhenUsed="0" w:uiPriority="99" w:semiHidden="0" w:name="Salutation"/>
    <w:lsdException w:unhideWhenUsed="0" w:uiPriority="99" w:semiHidden="0" w:name="Date"/>
    <w:lsdException w:unhideWhenUsed="0" w:uiPriority="99" w:semiHidden="0" w:name="Body Text First Indent"/>
    <w:lsdException w:unhideWhenUsed="0" w:uiPriority="99" w:semiHidden="0" w:name="Body Text First Indent 2"/>
    <w:lsdException w:unhideWhenUsed="0" w:uiPriority="99" w:semiHidden="0" w:name="Note Heading"/>
    <w:lsdException w:unhideWhenUsed="0" w:uiPriority="99" w:semiHidden="0" w:name="Body Text 2"/>
    <w:lsdException w:unhideWhenUsed="0" w:uiPriority="99" w:semiHidden="0" w:name="Body Text 3"/>
    <w:lsdException w:unhideWhenUsed="0" w:uiPriority="99" w:semiHidden="0" w:name="Body Text Indent 2"/>
    <w:lsdException w:unhideWhenUsed="0" w:uiPriority="99" w:semiHidden="0" w:name="Body Text Indent 3"/>
    <w:lsdException w:unhideWhenUsed="0" w:uiPriority="99" w:semiHidden="0" w:name="Block Text"/>
    <w:lsdException w:unhideWhenUsed="0" w:uiPriority="99" w:semiHidden="0" w:name="Hyperlink"/>
    <w:lsdException w:unhideWhenUsed="0" w:uiPriority="99" w:semiHidden="0" w:name="FollowedHyperlink"/>
    <w:lsdException w:unhideWhenUsed="0" w:uiPriority="99" w:semiHidden="0" w:name="Strong"/>
    <w:lsdException w:unhideWhenUsed="0" w:uiPriority="99" w:semiHidden="0" w:name="Emphasis"/>
    <w:lsdException w:unhideWhenUsed="0" w:uiPriority="99" w:semiHidden="0" w:name="Document Map"/>
    <w:lsdException w:unhideWhenUsed="0" w:uiPriority="99" w:semiHidden="0" w:name="Plain Text"/>
    <w:lsdException w:unhideWhenUsed="0" w:uiPriority="99" w:semiHidden="0" w:name="E-mail Signature"/>
    <w:lsdException w:unhideWhenUsed="0" w:uiPriority="99" w:semiHidden="0" w:name="Normal (Web)"/>
    <w:lsdException w:unhideWhenUsed="0" w:uiPriority="99" w:semiHidden="0" w:name="HTML Acronym"/>
    <w:lsdException w:unhideWhenUsed="0" w:uiPriority="99" w:semiHidden="0" w:name="HTML Address"/>
    <w:lsdException w:unhideWhenUsed="0" w:uiPriority="99" w:semiHidden="0" w:name="HTML Cite"/>
    <w:lsdException w:unhideWhenUsed="0" w:uiPriority="99" w:semiHidden="0" w:name="HTML Code"/>
    <w:lsdException w:unhideWhenUsed="0" w:uiPriority="99" w:semiHidden="0" w:name="HTML Definition"/>
    <w:lsdException w:unhideWhenUsed="0" w:uiPriority="99" w:semiHidden="0" w:name="HTML Keyboard"/>
    <w:lsdException w:unhideWhenUsed="0" w:uiPriority="99" w:semiHidden="0" w:name="HTML Preformatted"/>
    <w:lsdException w:unhideWhenUsed="0" w:uiPriority="99" w:semiHidden="0" w:name="HTML Sample"/>
    <w:lsdException w:unhideWhenUsed="0" w:uiPriority="99" w:semiHidden="0" w:name="HTML Typewriter"/>
    <w:lsdException w:unhideWhenUsed="0" w:uiPriority="99" w:semiHidden="0" w:name="HTML Variable"/>
    <w:lsdException w:qFormat="1" w:unhideWhenUsed="0" w:uiPriority="0" w:name="Normal Table"/>
    <w:lsdException w:unhideWhenUsed="0" w:uiPriority="99" w:semiHidden="0" w:name="annotation subject"/>
    <w:lsdException w:unhideWhenUsed="0" w:uiPriority="99" w:semiHidden="0" w:name="Table Simple 1"/>
    <w:lsdException w:unhideWhenUsed="0" w:uiPriority="99" w:semiHidden="0" w:name="Table Simple 2"/>
    <w:lsdException w:unhideWhenUsed="0" w:uiPriority="99" w:semiHidden="0" w:name="Table Simple 3"/>
    <w:lsdException w:unhideWhenUsed="0" w:uiPriority="99" w:semiHidden="0" w:name="Table Classic 1"/>
    <w:lsdException w:unhideWhenUsed="0" w:uiPriority="99" w:semiHidden="0" w:name="Table Classic 2"/>
    <w:lsdException w:unhideWhenUsed="0" w:uiPriority="99" w:semiHidden="0" w:name="Table Classic 3"/>
    <w:lsdException w:unhideWhenUsed="0" w:uiPriority="99" w:semiHidden="0" w:name="Table Classic 4"/>
    <w:lsdException w:unhideWhenUsed="0" w:uiPriority="99" w:semiHidden="0" w:name="Table Colorful 1"/>
    <w:lsdException w:unhideWhenUsed="0" w:uiPriority="99" w:semiHidden="0" w:name="Table Colorful 2"/>
    <w:lsdException w:unhideWhenUsed="0" w:uiPriority="99" w:semiHidden="0" w:name="Table Colorful 3"/>
    <w:lsdException w:unhideWhenUsed="0" w:uiPriority="99" w:semiHidden="0" w:name="Table Columns 1"/>
    <w:lsdException w:unhideWhenUsed="0" w:uiPriority="99" w:semiHidden="0" w:name="Table Columns 2"/>
    <w:lsdException w:unhideWhenUsed="0" w:uiPriority="99" w:semiHidden="0" w:name="Table Columns 3"/>
    <w:lsdException w:unhideWhenUsed="0" w:uiPriority="99" w:semiHidden="0" w:name="Table Columns 4"/>
    <w:lsdException w:unhideWhenUsed="0" w:uiPriority="99" w:semiHidden="0" w:name="Table Columns 5"/>
    <w:lsdException w:unhideWhenUsed="0" w:uiPriority="99" w:semiHidden="0" w:name="Table Grid 1"/>
    <w:lsdException w:unhideWhenUsed="0" w:uiPriority="99" w:semiHidden="0" w:name="Table Grid 2"/>
    <w:lsdException w:unhideWhenUsed="0" w:uiPriority="99" w:semiHidden="0" w:name="Table Grid 3"/>
    <w:lsdException w:unhideWhenUsed="0" w:uiPriority="99" w:semiHidden="0" w:name="Table Grid 4"/>
    <w:lsdException w:unhideWhenUsed="0" w:uiPriority="99" w:semiHidden="0" w:name="Table Grid 5"/>
    <w:lsdException w:unhideWhenUsed="0" w:uiPriority="99" w:semiHidden="0" w:name="Table Grid 6"/>
    <w:lsdException w:unhideWhenUsed="0" w:uiPriority="99" w:semiHidden="0" w:name="Table Grid 7"/>
    <w:lsdException w:unhideWhenUsed="0" w:uiPriority="99" w:semiHidden="0" w:name="Table Grid 8"/>
    <w:lsdException w:unhideWhenUsed="0" w:uiPriority="99" w:semiHidden="0" w:name="Table List 1"/>
    <w:lsdException w:unhideWhenUsed="0" w:uiPriority="99" w:semiHidden="0" w:name="Table List 2"/>
    <w:lsdException w:unhideWhenUsed="0" w:uiPriority="99" w:semiHidden="0" w:name="Table List 3"/>
    <w:lsdException w:unhideWhenUsed="0" w:uiPriority="99" w:semiHidden="0" w:name="Table List 4"/>
    <w:lsdException w:unhideWhenUsed="0" w:uiPriority="99" w:semiHidden="0" w:name="Table List 5"/>
    <w:lsdException w:unhideWhenUsed="0" w:uiPriority="99" w:semiHidden="0" w:name="Table List 6"/>
    <w:lsdException w:unhideWhenUsed="0" w:uiPriority="99" w:semiHidden="0" w:name="Table List 7"/>
    <w:lsdException w:unhideWhenUsed="0" w:uiPriority="99" w:semiHidden="0" w:name="Table List 8"/>
    <w:lsdException w:unhideWhenUsed="0" w:uiPriority="99" w:semiHidden="0" w:name="Table 3D effects 1"/>
    <w:lsdException w:unhideWhenUsed="0" w:uiPriority="99" w:semiHidden="0" w:name="Table 3D effects 2"/>
    <w:lsdException w:unhideWhenUsed="0" w:uiPriority="99" w:semiHidden="0" w:name="Table 3D effects 3"/>
    <w:lsdException w:unhideWhenUsed="0" w:uiPriority="99" w:semiHidden="0" w:name="Table Contemporary"/>
    <w:lsdException w:unhideWhenUsed="0" w:uiPriority="99" w:semiHidden="0" w:name="Table Elegant"/>
    <w:lsdException w:unhideWhenUsed="0" w:uiPriority="99" w:semiHidden="0" w:name="Table Professional"/>
    <w:lsdException w:unhideWhenUsed="0" w:uiPriority="99" w:semiHidden="0" w:name="Table Subtle 1"/>
    <w:lsdException w:unhideWhenUsed="0" w:uiPriority="99" w:semiHidden="0" w:name="Table Subtle 2"/>
    <w:lsdException w:unhideWhenUsed="0" w:uiPriority="99" w:semiHidden="0" w:name="Table Web 1"/>
    <w:lsdException w:unhideWhenUsed="0" w:uiPriority="99" w:semiHidden="0" w:name="Table Web 2"/>
    <w:lsdException w:unhideWhenUsed="0" w:uiPriority="99" w:semiHidden="0" w:name="Table Web 3"/>
    <w:lsdException w:unhideWhenUsed="0" w:uiPriority="99" w:semiHidden="0" w:name="Balloon Text"/>
    <w:lsdException w:unhideWhenUsed="0" w:uiPriority="9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7"/>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默认段落字体1"/>
    <w:link w:val="1"/>
    <w:semiHidden/>
    <w:qFormat/>
    <w:uiPriority w:val="0"/>
  </w:style>
  <w:style w:type="table" w:customStyle="1" w:styleId="5">
    <w:name w:val="普通表格1"/>
    <w:semiHidden/>
    <w:qFormat/>
    <w:uiPriority w:val="0"/>
  </w:style>
  <w:style w:type="paragraph" w:customStyle="1" w:styleId="6">
    <w:name w:val="普通(网站)1"/>
    <w:basedOn w:val="1"/>
    <w:qFormat/>
    <w:uiPriority w:val="0"/>
    <w:pPr>
      <w:spacing w:before="100" w:beforeAutospacing="1" w:after="100" w:afterAutospacing="1"/>
      <w:ind w:left="0" w:right="0"/>
      <w:jc w:val="left"/>
    </w:pPr>
    <w:rPr>
      <w:kern w:val="0"/>
      <w:sz w:val="24"/>
      <w:lang w:val="en-US" w:eastAsia="zh-CN" w:bidi="ar"/>
    </w:rPr>
  </w:style>
  <w:style w:type="character" w:customStyle="1" w:styleId="7">
    <w:name w:val="要点1"/>
    <w:basedOn w:val="4"/>
    <w:link w:val="1"/>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satMod val="300000"/>
                <a:tint val="50000"/>
              </a:schemeClr>
            </a:gs>
            <a:gs pos="35000">
              <a:schemeClr val="phClr">
                <a:satMod val="300000"/>
                <a:tint val="37000"/>
              </a:schemeClr>
            </a:gs>
            <a:gs pos="100000">
              <a:schemeClr val="phClr">
                <a:satMod val="350000"/>
                <a:tint val="15000"/>
              </a:schemeClr>
            </a:gs>
          </a:gsLst>
          <a:lin ang="16200000" scaled="1"/>
        </a:gradFill>
        <a:gradFill rotWithShape="1">
          <a:gsLst>
            <a:gs pos="0">
              <a:schemeClr val="phClr">
                <a:satMod val="130000"/>
                <a:shade val="51000"/>
              </a:schemeClr>
            </a:gs>
            <a:gs pos="80000">
              <a:schemeClr val="phClr">
                <a:satMod val="130000"/>
                <a:shade val="93000"/>
              </a:schemeClr>
            </a:gs>
            <a:gs pos="100000">
              <a:schemeClr val="phClr">
                <a:satMod val="135000"/>
                <a:shade val="94000"/>
              </a:schemeClr>
            </a:gs>
          </a:gsLst>
          <a:lin ang="16200000" scaled="0"/>
        </a:gradFill>
      </a:fillStyleLst>
      <a:lnStyleLst>
        <a:ln w="9525" cap="flat" cmpd="sng" algn="ctr">
          <a:solidFill>
            <a:schemeClr val="phClr">
              <a:satMod val="105000"/>
              <a:shade val="9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atMod val="350000"/>
                <a:tint val="40000"/>
              </a:schemeClr>
            </a:gs>
            <a:gs pos="40000">
              <a:schemeClr val="phClr">
                <a:satMod val="350000"/>
                <a:shade val="99000"/>
                <a:tint val="45000"/>
              </a:schemeClr>
            </a:gs>
            <a:gs pos="100000">
              <a:schemeClr val="phClr">
                <a:satMod val="255000"/>
                <a:shade val="20000"/>
              </a:schemeClr>
            </a:gs>
          </a:gsLst>
          <a:path path="circle">
            <a:fillToRect l="50000" t="-80000" r="50000" b="180000"/>
          </a:path>
        </a:gradFill>
        <a:gradFill rotWithShape="1">
          <a:gsLst>
            <a:gs pos="0">
              <a:schemeClr val="phClr">
                <a:satMod val="300000"/>
                <a:tint val="80000"/>
              </a:schemeClr>
            </a:gs>
            <a:gs pos="100000">
              <a:schemeClr val="phClr">
                <a:satMod val="200000"/>
                <a:shade val="3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1026</Words>
  <Characters>1038</Characters>
  <Lines>0</Lines>
  <Paragraphs>0</Paragraphs>
  <TotalTime>9</TotalTime>
  <ScaleCrop>false</ScaleCrop>
  <LinksUpToDate>false</LinksUpToDate>
  <CharactersWithSpaces>1038</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2025-03-21T06:51:00Z</dcterms:created>
  <dc:creator>一林</dc:creator>
  <cp:lastModifiedBy>一林</cp:lastModifiedBy>
  <dcterms:modified xsi:type="dcterms:W3CDTF">2025-03-19T17:45:16Z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DF51DB5C3FF4AA24E680DA67F1E0B5C5</vt:lpwstr>
  </property>
  <property fmtid="{D5CDD505-2E9C-101B-9397-08002B2CF9AE}" pid="4" name="KSOTemplateDocerSaveRecord">
    <vt:lpwstr>eyJoZGlkIjoiMWJmYmVhMGQ2YWQwOTc0ZDFkYmVkZTE0NzFkNThlYzIiLCJ1c2VySWQiOiIyNTk0MTU5MTUifQ==</vt:lpwstr>
  </property>
</Properties>
</file>